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4D78" w14:textId="77777777" w:rsidR="00D64EF3" w:rsidRPr="00D038CF" w:rsidRDefault="00D64EF3" w:rsidP="00D64EF3">
      <w:pPr>
        <w:spacing w:after="0" w:line="240" w:lineRule="auto"/>
        <w:ind w:left="567"/>
        <w:rPr>
          <w:rFonts w:ascii="Amasis MT Pro Black" w:hAnsi="Amasis MT Pro Black"/>
          <w:b/>
          <w:bCs/>
          <w:color w:val="D46F63"/>
          <w:sz w:val="48"/>
          <w:szCs w:val="48"/>
        </w:rPr>
      </w:pPr>
      <w:r>
        <w:rPr>
          <w:rFonts w:ascii="Amasis MT Pro Black" w:hAnsi="Amasis MT Pro Black"/>
          <w:b/>
          <w:bCs/>
          <w:color w:val="008796"/>
          <w:sz w:val="48"/>
          <w:szCs w:val="48"/>
        </w:rPr>
        <w:t>Published admission numbers and catchment areas for the 2026 to 2027 academic year</w:t>
      </w:r>
      <w:r w:rsidRPr="00D038CF">
        <w:rPr>
          <w:rFonts w:ascii="Amasis MT Pro Black" w:hAnsi="Amasis MT Pro Black"/>
          <w:b/>
          <w:bCs/>
          <w:color w:val="D46F63"/>
          <w:sz w:val="48"/>
          <w:szCs w:val="48"/>
        </w:rPr>
        <w:t>.</w:t>
      </w:r>
    </w:p>
    <w:p w14:paraId="62DBCCA2" w14:textId="77777777" w:rsidR="00D64EF3" w:rsidRPr="00AE5F48" w:rsidRDefault="00D64EF3" w:rsidP="00D64EF3">
      <w:pPr>
        <w:spacing w:after="0" w:line="240" w:lineRule="auto"/>
        <w:ind w:left="567"/>
        <w:rPr>
          <w:rFonts w:ascii="Amasis MT Pro Black" w:hAnsi="Amasis MT Pro Black"/>
          <w:b/>
          <w:bCs/>
          <w:color w:val="D46F63"/>
          <w:sz w:val="32"/>
          <w:szCs w:val="32"/>
        </w:rPr>
      </w:pPr>
    </w:p>
    <w:p w14:paraId="25464D1A" w14:textId="77777777" w:rsidR="00D64EF3" w:rsidRDefault="00D64EF3" w:rsidP="00D64EF3">
      <w:pPr>
        <w:spacing w:after="0" w:line="240" w:lineRule="auto"/>
        <w:ind w:left="567"/>
        <w:rPr>
          <w:b/>
          <w:color w:val="000000" w:themeColor="text1"/>
          <w:sz w:val="32"/>
          <w:szCs w:val="32"/>
        </w:rPr>
      </w:pPr>
      <w:r>
        <w:rPr>
          <w:b/>
          <w:color w:val="000000" w:themeColor="text1"/>
          <w:sz w:val="32"/>
          <w:szCs w:val="32"/>
        </w:rPr>
        <w:t>Milton Keynes City Council – Published admission numbers for the 2026 to 2027 academic year</w:t>
      </w:r>
    </w:p>
    <w:p w14:paraId="1508A7A7" w14:textId="77777777" w:rsidR="00D64EF3" w:rsidRPr="001E2824" w:rsidRDefault="00D64EF3" w:rsidP="00D64EF3">
      <w:pPr>
        <w:spacing w:after="0" w:line="240" w:lineRule="auto"/>
        <w:ind w:firstLine="567"/>
        <w:rPr>
          <w:b/>
          <w:bCs/>
          <w:sz w:val="24"/>
          <w:szCs w:val="24"/>
        </w:rPr>
      </w:pPr>
    </w:p>
    <w:p w14:paraId="081476E8" w14:textId="77777777" w:rsidR="00D64EF3" w:rsidRPr="00A748B0" w:rsidRDefault="00D64EF3" w:rsidP="00D64EF3">
      <w:pPr>
        <w:spacing w:after="0" w:line="240" w:lineRule="auto"/>
        <w:ind w:left="567"/>
        <w:rPr>
          <w:color w:val="000000" w:themeColor="text1"/>
          <w:sz w:val="24"/>
          <w:szCs w:val="24"/>
        </w:rPr>
      </w:pPr>
      <w:r w:rsidRPr="00A748B0">
        <w:rPr>
          <w:color w:val="000000" w:themeColor="text1"/>
          <w:sz w:val="24"/>
          <w:szCs w:val="24"/>
        </w:rPr>
        <w:t xml:space="preserve">The published </w:t>
      </w:r>
      <w:r w:rsidRPr="00A748B0">
        <w:rPr>
          <w:rFonts w:ascii="Calibri" w:hAnsi="Calibri" w:cs="Arial"/>
          <w:sz w:val="24"/>
          <w:szCs w:val="24"/>
        </w:rPr>
        <w:t>admission number is the minimum number of school places that the council, as the admission authority, must offer up to in each year group before any application can be refused.</w:t>
      </w:r>
      <w:r w:rsidRPr="00A748B0">
        <w:rPr>
          <w:color w:val="000000" w:themeColor="text1"/>
          <w:sz w:val="24"/>
          <w:szCs w:val="24"/>
        </w:rPr>
        <w:t xml:space="preserve"> </w:t>
      </w:r>
    </w:p>
    <w:p w14:paraId="14224F77" w14:textId="77777777" w:rsidR="00D64EF3" w:rsidRPr="00A748B0" w:rsidRDefault="00D64EF3" w:rsidP="00D64EF3">
      <w:pPr>
        <w:spacing w:after="0" w:line="240" w:lineRule="auto"/>
        <w:ind w:left="567"/>
        <w:rPr>
          <w:color w:val="000000" w:themeColor="text1"/>
          <w:sz w:val="24"/>
          <w:szCs w:val="24"/>
        </w:rPr>
      </w:pPr>
    </w:p>
    <w:p w14:paraId="034F5004" w14:textId="77777777" w:rsidR="00D64EF3" w:rsidRPr="00A748B0" w:rsidRDefault="00D64EF3" w:rsidP="00D64EF3">
      <w:pPr>
        <w:spacing w:after="0" w:line="240" w:lineRule="auto"/>
        <w:ind w:left="567"/>
        <w:rPr>
          <w:color w:val="000000" w:themeColor="text1"/>
          <w:sz w:val="24"/>
          <w:szCs w:val="24"/>
        </w:rPr>
      </w:pPr>
      <w:r w:rsidRPr="00A748B0">
        <w:rPr>
          <w:color w:val="000000" w:themeColor="text1"/>
          <w:sz w:val="24"/>
          <w:szCs w:val="24"/>
        </w:rPr>
        <w:t xml:space="preserve">The published </w:t>
      </w:r>
      <w:r w:rsidRPr="00A748B0">
        <w:rPr>
          <w:rFonts w:ascii="Calibri" w:hAnsi="Calibri" w:cs="Arial"/>
          <w:sz w:val="24"/>
          <w:szCs w:val="24"/>
        </w:rPr>
        <w:t xml:space="preserve">admission number for each school is shown below. </w:t>
      </w:r>
      <w:r>
        <w:rPr>
          <w:rFonts w:ascii="Calibri" w:hAnsi="Calibri" w:cs="Arial"/>
          <w:sz w:val="24"/>
          <w:szCs w:val="24"/>
        </w:rPr>
        <w:t xml:space="preserve">There are no </w:t>
      </w:r>
      <w:r w:rsidRPr="00A748B0">
        <w:rPr>
          <w:rFonts w:ascii="Calibri" w:hAnsi="Calibri" w:cs="Arial"/>
          <w:sz w:val="24"/>
          <w:szCs w:val="24"/>
        </w:rPr>
        <w:t>proposed change</w:t>
      </w:r>
      <w:r>
        <w:rPr>
          <w:rFonts w:ascii="Calibri" w:hAnsi="Calibri" w:cs="Arial"/>
          <w:sz w:val="24"/>
          <w:szCs w:val="24"/>
        </w:rPr>
        <w:t>s</w:t>
      </w:r>
      <w:r w:rsidRPr="00A748B0">
        <w:rPr>
          <w:rFonts w:ascii="Calibri" w:hAnsi="Calibri" w:cs="Arial"/>
          <w:sz w:val="24"/>
          <w:szCs w:val="24"/>
        </w:rPr>
        <w:t xml:space="preserve"> to admission number</w:t>
      </w:r>
      <w:r>
        <w:rPr>
          <w:rFonts w:ascii="Calibri" w:hAnsi="Calibri" w:cs="Arial"/>
          <w:sz w:val="24"/>
          <w:szCs w:val="24"/>
        </w:rPr>
        <w:t>s for 2026</w:t>
      </w:r>
      <w:r w:rsidRPr="00A748B0">
        <w:rPr>
          <w:color w:val="000000" w:themeColor="text1"/>
          <w:sz w:val="24"/>
          <w:szCs w:val="24"/>
        </w:rPr>
        <w:t>.</w:t>
      </w:r>
    </w:p>
    <w:p w14:paraId="14BD5D62" w14:textId="77777777" w:rsidR="00D64EF3" w:rsidRDefault="00D64EF3" w:rsidP="00D64EF3">
      <w:pPr>
        <w:spacing w:after="0" w:line="240" w:lineRule="auto"/>
        <w:ind w:left="567"/>
        <w:rPr>
          <w:color w:val="000000" w:themeColor="text1"/>
          <w:sz w:val="24"/>
          <w:szCs w:val="24"/>
        </w:rPr>
      </w:pPr>
    </w:p>
    <w:tbl>
      <w:tblPr>
        <w:tblStyle w:val="TableGrid"/>
        <w:tblW w:w="0" w:type="auto"/>
        <w:tblInd w:w="567" w:type="dxa"/>
        <w:tblLook w:val="04A0" w:firstRow="1" w:lastRow="0" w:firstColumn="1" w:lastColumn="0" w:noHBand="0" w:noVBand="1"/>
      </w:tblPr>
      <w:tblGrid>
        <w:gridCol w:w="5098"/>
        <w:gridCol w:w="4791"/>
      </w:tblGrid>
      <w:tr w:rsidR="00D64EF3" w14:paraId="05E055C4" w14:textId="77777777" w:rsidTr="00EE4CDE">
        <w:tc>
          <w:tcPr>
            <w:tcW w:w="5098" w:type="dxa"/>
          </w:tcPr>
          <w:p w14:paraId="3FB4275C" w14:textId="77777777" w:rsidR="00D64EF3" w:rsidRPr="00EE634B" w:rsidRDefault="00D64EF3" w:rsidP="00EE4CDE">
            <w:pPr>
              <w:rPr>
                <w:rFonts w:cstheme="minorHAnsi"/>
                <w:b/>
                <w:bCs/>
                <w:color w:val="000000" w:themeColor="text1"/>
                <w:sz w:val="24"/>
                <w:szCs w:val="24"/>
              </w:rPr>
            </w:pPr>
            <w:r w:rsidRPr="00EE634B">
              <w:rPr>
                <w:rFonts w:cstheme="minorHAnsi"/>
                <w:b/>
                <w:bCs/>
                <w:color w:val="000000" w:themeColor="text1"/>
                <w:sz w:val="24"/>
                <w:szCs w:val="24"/>
              </w:rPr>
              <w:t>School</w:t>
            </w:r>
          </w:p>
        </w:tc>
        <w:tc>
          <w:tcPr>
            <w:tcW w:w="4791" w:type="dxa"/>
          </w:tcPr>
          <w:p w14:paraId="7D56CC16" w14:textId="77777777" w:rsidR="00D64EF3" w:rsidRPr="00EE634B" w:rsidRDefault="00D64EF3" w:rsidP="00EE4CDE">
            <w:pPr>
              <w:rPr>
                <w:rFonts w:cstheme="minorHAnsi"/>
                <w:b/>
                <w:bCs/>
                <w:color w:val="000000" w:themeColor="text1"/>
                <w:sz w:val="24"/>
                <w:szCs w:val="24"/>
              </w:rPr>
            </w:pPr>
            <w:r w:rsidRPr="00EE634B">
              <w:rPr>
                <w:rFonts w:cstheme="minorHAnsi"/>
                <w:b/>
                <w:bCs/>
                <w:color w:val="000000" w:themeColor="text1"/>
                <w:sz w:val="24"/>
                <w:szCs w:val="24"/>
              </w:rPr>
              <w:t>Proposed published admission number 2026</w:t>
            </w:r>
          </w:p>
        </w:tc>
      </w:tr>
      <w:tr w:rsidR="00D64EF3" w14:paraId="411DAC96" w14:textId="77777777" w:rsidTr="00EE4CDE">
        <w:tc>
          <w:tcPr>
            <w:tcW w:w="5098" w:type="dxa"/>
          </w:tcPr>
          <w:p w14:paraId="0A46F7BB" w14:textId="77777777" w:rsidR="00D64EF3" w:rsidRPr="00EE634B" w:rsidRDefault="00D64EF3" w:rsidP="00EE4CDE">
            <w:pPr>
              <w:rPr>
                <w:rFonts w:cstheme="minorHAnsi"/>
                <w:color w:val="000000" w:themeColor="text1"/>
                <w:sz w:val="24"/>
                <w:szCs w:val="24"/>
              </w:rPr>
            </w:pPr>
            <w:r w:rsidRPr="00EE634B">
              <w:rPr>
                <w:rFonts w:cstheme="minorHAnsi"/>
                <w:sz w:val="24"/>
                <w:szCs w:val="24"/>
              </w:rPr>
              <w:t>Abbeys Primary</w:t>
            </w:r>
          </w:p>
        </w:tc>
        <w:tc>
          <w:tcPr>
            <w:tcW w:w="4791" w:type="dxa"/>
          </w:tcPr>
          <w:p w14:paraId="5F9A64E6" w14:textId="77777777" w:rsidR="00D64EF3" w:rsidRPr="00EE634B" w:rsidRDefault="00D64EF3" w:rsidP="00EE4CDE">
            <w:pPr>
              <w:rPr>
                <w:rFonts w:cstheme="minorHAnsi"/>
                <w:color w:val="000000" w:themeColor="text1"/>
                <w:sz w:val="24"/>
                <w:szCs w:val="24"/>
              </w:rPr>
            </w:pPr>
            <w:r w:rsidRPr="00EE634B">
              <w:rPr>
                <w:rFonts w:cstheme="minorHAnsi"/>
                <w:sz w:val="24"/>
                <w:szCs w:val="24"/>
              </w:rPr>
              <w:t>45</w:t>
            </w:r>
          </w:p>
        </w:tc>
      </w:tr>
      <w:tr w:rsidR="00D64EF3" w14:paraId="0FD5720B" w14:textId="77777777" w:rsidTr="00EE4CDE">
        <w:tc>
          <w:tcPr>
            <w:tcW w:w="5098" w:type="dxa"/>
          </w:tcPr>
          <w:p w14:paraId="2A72D8F3" w14:textId="77777777" w:rsidR="00D64EF3" w:rsidRPr="00EE634B" w:rsidRDefault="00D64EF3" w:rsidP="00EE4CDE">
            <w:pPr>
              <w:rPr>
                <w:rFonts w:cstheme="minorHAnsi"/>
                <w:color w:val="000000" w:themeColor="text1"/>
                <w:sz w:val="24"/>
                <w:szCs w:val="24"/>
              </w:rPr>
            </w:pPr>
            <w:r w:rsidRPr="00EE634B">
              <w:rPr>
                <w:rFonts w:cstheme="minorHAnsi"/>
                <w:sz w:val="24"/>
                <w:szCs w:val="24"/>
              </w:rPr>
              <w:t>Barleyhurst Park Primary</w:t>
            </w:r>
          </w:p>
        </w:tc>
        <w:tc>
          <w:tcPr>
            <w:tcW w:w="4791" w:type="dxa"/>
          </w:tcPr>
          <w:p w14:paraId="12F9AFAE" w14:textId="77777777" w:rsidR="00D64EF3" w:rsidRPr="00EE634B" w:rsidRDefault="00D64EF3" w:rsidP="00EE4CDE">
            <w:pPr>
              <w:rPr>
                <w:rFonts w:cstheme="minorHAnsi"/>
                <w:color w:val="000000" w:themeColor="text1"/>
                <w:sz w:val="24"/>
                <w:szCs w:val="24"/>
              </w:rPr>
            </w:pPr>
            <w:r w:rsidRPr="00EE634B">
              <w:rPr>
                <w:rFonts w:cstheme="minorHAnsi"/>
                <w:sz w:val="24"/>
                <w:szCs w:val="24"/>
              </w:rPr>
              <w:t>30</w:t>
            </w:r>
          </w:p>
        </w:tc>
      </w:tr>
      <w:tr w:rsidR="00D64EF3" w14:paraId="2F5B4DF0" w14:textId="77777777" w:rsidTr="00EE4CDE">
        <w:tc>
          <w:tcPr>
            <w:tcW w:w="5098" w:type="dxa"/>
          </w:tcPr>
          <w:p w14:paraId="0A84BC95" w14:textId="77777777" w:rsidR="00D64EF3" w:rsidRPr="00EE634B" w:rsidRDefault="00D64EF3" w:rsidP="00EE4CDE">
            <w:pPr>
              <w:rPr>
                <w:rFonts w:cstheme="minorHAnsi"/>
                <w:color w:val="000000" w:themeColor="text1"/>
                <w:sz w:val="24"/>
                <w:szCs w:val="24"/>
              </w:rPr>
            </w:pPr>
            <w:r w:rsidRPr="00EE634B">
              <w:rPr>
                <w:rFonts w:cstheme="minorHAnsi"/>
                <w:sz w:val="24"/>
                <w:szCs w:val="24"/>
              </w:rPr>
              <w:t>Bradwell Village</w:t>
            </w:r>
          </w:p>
        </w:tc>
        <w:tc>
          <w:tcPr>
            <w:tcW w:w="4791" w:type="dxa"/>
          </w:tcPr>
          <w:p w14:paraId="21435687" w14:textId="77777777" w:rsidR="00D64EF3" w:rsidRPr="00EE634B" w:rsidRDefault="00D64EF3" w:rsidP="00EE4CDE">
            <w:pPr>
              <w:rPr>
                <w:rFonts w:cstheme="minorHAnsi"/>
                <w:color w:val="000000" w:themeColor="text1"/>
                <w:sz w:val="24"/>
                <w:szCs w:val="24"/>
              </w:rPr>
            </w:pPr>
            <w:r w:rsidRPr="00EE634B">
              <w:rPr>
                <w:rFonts w:cstheme="minorHAnsi"/>
                <w:sz w:val="24"/>
                <w:szCs w:val="24"/>
              </w:rPr>
              <w:t>60</w:t>
            </w:r>
          </w:p>
        </w:tc>
      </w:tr>
      <w:tr w:rsidR="00D64EF3" w14:paraId="2A4FBCA2" w14:textId="77777777" w:rsidTr="00EE4CDE">
        <w:tc>
          <w:tcPr>
            <w:tcW w:w="5098" w:type="dxa"/>
          </w:tcPr>
          <w:p w14:paraId="5CC9C24F" w14:textId="77777777" w:rsidR="00D64EF3" w:rsidRPr="00EE634B" w:rsidRDefault="00D64EF3" w:rsidP="00EE4CDE">
            <w:pPr>
              <w:rPr>
                <w:rFonts w:cstheme="minorHAnsi"/>
                <w:color w:val="000000" w:themeColor="text1"/>
                <w:sz w:val="24"/>
                <w:szCs w:val="24"/>
              </w:rPr>
            </w:pPr>
            <w:r w:rsidRPr="00EE634B">
              <w:rPr>
                <w:rFonts w:cstheme="minorHAnsi"/>
                <w:sz w:val="24"/>
                <w:szCs w:val="24"/>
              </w:rPr>
              <w:t>Brooklands Farm Primary</w:t>
            </w:r>
          </w:p>
        </w:tc>
        <w:tc>
          <w:tcPr>
            <w:tcW w:w="4791" w:type="dxa"/>
          </w:tcPr>
          <w:p w14:paraId="43302D89" w14:textId="77777777" w:rsidR="00D64EF3" w:rsidRPr="00EE634B" w:rsidRDefault="00D64EF3" w:rsidP="00EE4CDE">
            <w:pPr>
              <w:rPr>
                <w:rFonts w:cstheme="minorHAnsi"/>
                <w:color w:val="000000" w:themeColor="text1"/>
                <w:sz w:val="24"/>
                <w:szCs w:val="24"/>
              </w:rPr>
            </w:pPr>
            <w:r w:rsidRPr="00EE634B">
              <w:rPr>
                <w:rFonts w:cstheme="minorHAnsi"/>
                <w:sz w:val="24"/>
                <w:szCs w:val="24"/>
              </w:rPr>
              <w:t xml:space="preserve">180 </w:t>
            </w:r>
          </w:p>
        </w:tc>
      </w:tr>
      <w:tr w:rsidR="00D64EF3" w14:paraId="6B26361F" w14:textId="77777777" w:rsidTr="00EE4CDE">
        <w:tc>
          <w:tcPr>
            <w:tcW w:w="5098" w:type="dxa"/>
          </w:tcPr>
          <w:p w14:paraId="500460DA" w14:textId="77777777" w:rsidR="00D64EF3" w:rsidRPr="00EE634B" w:rsidRDefault="00D64EF3" w:rsidP="00EE4CDE">
            <w:pPr>
              <w:rPr>
                <w:rFonts w:cstheme="minorHAnsi"/>
                <w:color w:val="000000" w:themeColor="text1"/>
                <w:sz w:val="24"/>
                <w:szCs w:val="24"/>
              </w:rPr>
            </w:pPr>
            <w:r w:rsidRPr="00EE634B">
              <w:rPr>
                <w:rFonts w:cstheme="minorHAnsi"/>
                <w:sz w:val="24"/>
                <w:szCs w:val="24"/>
              </w:rPr>
              <w:t>Broughton Fields Primary</w:t>
            </w:r>
          </w:p>
        </w:tc>
        <w:tc>
          <w:tcPr>
            <w:tcW w:w="4791" w:type="dxa"/>
          </w:tcPr>
          <w:p w14:paraId="53046868" w14:textId="77777777" w:rsidR="00D64EF3" w:rsidRPr="00EE634B" w:rsidRDefault="00D64EF3" w:rsidP="00EE4CDE">
            <w:pPr>
              <w:rPr>
                <w:rFonts w:cstheme="minorHAnsi"/>
                <w:color w:val="000000" w:themeColor="text1"/>
                <w:sz w:val="24"/>
                <w:szCs w:val="24"/>
              </w:rPr>
            </w:pPr>
            <w:r w:rsidRPr="00EE634B">
              <w:rPr>
                <w:rFonts w:cstheme="minorHAnsi"/>
                <w:sz w:val="24"/>
                <w:szCs w:val="24"/>
              </w:rPr>
              <w:t>60</w:t>
            </w:r>
          </w:p>
        </w:tc>
      </w:tr>
      <w:tr w:rsidR="00D64EF3" w14:paraId="537D0564" w14:textId="77777777" w:rsidTr="00EE4CDE">
        <w:tc>
          <w:tcPr>
            <w:tcW w:w="5098" w:type="dxa"/>
          </w:tcPr>
          <w:p w14:paraId="33F72305" w14:textId="77777777" w:rsidR="00D64EF3" w:rsidRPr="00EE634B" w:rsidRDefault="00D64EF3" w:rsidP="00EE4CDE">
            <w:pPr>
              <w:rPr>
                <w:rFonts w:cstheme="minorHAnsi"/>
                <w:color w:val="000000" w:themeColor="text1"/>
                <w:sz w:val="24"/>
                <w:szCs w:val="24"/>
              </w:rPr>
            </w:pPr>
            <w:r w:rsidRPr="00EE634B">
              <w:rPr>
                <w:rFonts w:cstheme="minorHAnsi"/>
                <w:sz w:val="24"/>
                <w:szCs w:val="24"/>
              </w:rPr>
              <w:t>Caroline Haslett Primary</w:t>
            </w:r>
          </w:p>
        </w:tc>
        <w:tc>
          <w:tcPr>
            <w:tcW w:w="4791" w:type="dxa"/>
          </w:tcPr>
          <w:p w14:paraId="2B07560D" w14:textId="77777777" w:rsidR="00D64EF3" w:rsidRPr="00EE634B" w:rsidRDefault="00D64EF3" w:rsidP="00EE4CDE">
            <w:pPr>
              <w:rPr>
                <w:rFonts w:cstheme="minorHAnsi"/>
                <w:color w:val="000000" w:themeColor="text1"/>
                <w:sz w:val="24"/>
                <w:szCs w:val="24"/>
              </w:rPr>
            </w:pPr>
            <w:r w:rsidRPr="00EE634B">
              <w:rPr>
                <w:rFonts w:cstheme="minorHAnsi"/>
                <w:sz w:val="24"/>
                <w:szCs w:val="24"/>
              </w:rPr>
              <w:t>60</w:t>
            </w:r>
          </w:p>
        </w:tc>
      </w:tr>
      <w:tr w:rsidR="00D64EF3" w14:paraId="38FD526C" w14:textId="77777777" w:rsidTr="00EE4CDE">
        <w:tc>
          <w:tcPr>
            <w:tcW w:w="5098" w:type="dxa"/>
          </w:tcPr>
          <w:p w14:paraId="7E44B0E8" w14:textId="77777777" w:rsidR="00D64EF3" w:rsidRPr="00EE634B" w:rsidRDefault="00D64EF3" w:rsidP="00EE4CDE">
            <w:pPr>
              <w:rPr>
                <w:rFonts w:cstheme="minorHAnsi"/>
                <w:color w:val="000000" w:themeColor="text1"/>
                <w:sz w:val="24"/>
                <w:szCs w:val="24"/>
              </w:rPr>
            </w:pPr>
            <w:r w:rsidRPr="00EE634B">
              <w:rPr>
                <w:rFonts w:cstheme="minorHAnsi"/>
                <w:sz w:val="24"/>
                <w:szCs w:val="24"/>
              </w:rPr>
              <w:t>Castlethorpe First</w:t>
            </w:r>
          </w:p>
        </w:tc>
        <w:tc>
          <w:tcPr>
            <w:tcW w:w="4791" w:type="dxa"/>
          </w:tcPr>
          <w:p w14:paraId="2C439D7B" w14:textId="77777777" w:rsidR="00D64EF3" w:rsidRPr="00EE634B" w:rsidRDefault="00D64EF3" w:rsidP="00EE4CDE">
            <w:pPr>
              <w:rPr>
                <w:rFonts w:cstheme="minorHAnsi"/>
                <w:color w:val="000000" w:themeColor="text1"/>
                <w:sz w:val="24"/>
                <w:szCs w:val="24"/>
              </w:rPr>
            </w:pPr>
            <w:r w:rsidRPr="00EE634B">
              <w:rPr>
                <w:rFonts w:cstheme="minorHAnsi"/>
                <w:sz w:val="24"/>
                <w:szCs w:val="24"/>
              </w:rPr>
              <w:t>15</w:t>
            </w:r>
          </w:p>
        </w:tc>
      </w:tr>
      <w:tr w:rsidR="00D64EF3" w14:paraId="7BD645A6" w14:textId="77777777" w:rsidTr="00EE4CDE">
        <w:tc>
          <w:tcPr>
            <w:tcW w:w="5098" w:type="dxa"/>
          </w:tcPr>
          <w:p w14:paraId="694FD1CC" w14:textId="77777777" w:rsidR="00D64EF3" w:rsidRPr="00EE634B" w:rsidRDefault="00D64EF3" w:rsidP="00EE4CDE">
            <w:pPr>
              <w:rPr>
                <w:rFonts w:cstheme="minorHAnsi"/>
                <w:sz w:val="24"/>
                <w:szCs w:val="24"/>
              </w:rPr>
            </w:pPr>
            <w:r w:rsidRPr="00EE634B">
              <w:rPr>
                <w:rFonts w:cstheme="minorHAnsi"/>
                <w:sz w:val="24"/>
                <w:szCs w:val="24"/>
              </w:rPr>
              <w:t>Cedars Primary</w:t>
            </w:r>
          </w:p>
        </w:tc>
        <w:tc>
          <w:tcPr>
            <w:tcW w:w="4791" w:type="dxa"/>
          </w:tcPr>
          <w:p w14:paraId="363073C6" w14:textId="77777777" w:rsidR="00D64EF3" w:rsidRPr="00EE634B" w:rsidRDefault="00D64EF3" w:rsidP="00EE4CDE">
            <w:pPr>
              <w:rPr>
                <w:rFonts w:cstheme="minorHAnsi"/>
                <w:sz w:val="24"/>
                <w:szCs w:val="24"/>
              </w:rPr>
            </w:pPr>
            <w:r w:rsidRPr="00EE634B">
              <w:rPr>
                <w:rFonts w:cstheme="minorHAnsi"/>
                <w:sz w:val="24"/>
                <w:szCs w:val="24"/>
              </w:rPr>
              <w:t>30</w:t>
            </w:r>
          </w:p>
        </w:tc>
      </w:tr>
      <w:tr w:rsidR="00D64EF3" w14:paraId="7666C00D" w14:textId="77777777" w:rsidTr="00EE4CDE">
        <w:tc>
          <w:tcPr>
            <w:tcW w:w="5098" w:type="dxa"/>
          </w:tcPr>
          <w:p w14:paraId="663ADF86" w14:textId="77777777" w:rsidR="00D64EF3" w:rsidRPr="00EE634B" w:rsidRDefault="00D64EF3" w:rsidP="00EE4CDE">
            <w:pPr>
              <w:rPr>
                <w:rFonts w:cstheme="minorHAnsi"/>
                <w:sz w:val="24"/>
                <w:szCs w:val="24"/>
              </w:rPr>
            </w:pPr>
            <w:r w:rsidRPr="00EE634B">
              <w:rPr>
                <w:rFonts w:cstheme="minorHAnsi"/>
                <w:sz w:val="24"/>
                <w:szCs w:val="24"/>
              </w:rPr>
              <w:t>Cold Harbour C of E</w:t>
            </w:r>
          </w:p>
        </w:tc>
        <w:tc>
          <w:tcPr>
            <w:tcW w:w="4791" w:type="dxa"/>
          </w:tcPr>
          <w:p w14:paraId="7B9DF902" w14:textId="77777777" w:rsidR="00D64EF3" w:rsidRPr="00EE634B" w:rsidRDefault="00D64EF3" w:rsidP="00EE4CDE">
            <w:pPr>
              <w:rPr>
                <w:rFonts w:cstheme="minorHAnsi"/>
                <w:sz w:val="24"/>
                <w:szCs w:val="24"/>
              </w:rPr>
            </w:pPr>
            <w:r w:rsidRPr="00EE634B">
              <w:rPr>
                <w:rFonts w:cstheme="minorHAnsi"/>
                <w:sz w:val="24"/>
                <w:szCs w:val="24"/>
              </w:rPr>
              <w:t>30</w:t>
            </w:r>
          </w:p>
        </w:tc>
      </w:tr>
      <w:tr w:rsidR="00D64EF3" w14:paraId="76F6D3D4" w14:textId="77777777" w:rsidTr="00EE4CDE">
        <w:tc>
          <w:tcPr>
            <w:tcW w:w="5098" w:type="dxa"/>
          </w:tcPr>
          <w:p w14:paraId="5EE2BC84" w14:textId="77777777" w:rsidR="00D64EF3" w:rsidRPr="00EE634B" w:rsidRDefault="00D64EF3" w:rsidP="00EE4CDE">
            <w:pPr>
              <w:rPr>
                <w:rFonts w:cstheme="minorHAnsi"/>
                <w:sz w:val="24"/>
                <w:szCs w:val="24"/>
              </w:rPr>
            </w:pPr>
            <w:r w:rsidRPr="00EE634B">
              <w:rPr>
                <w:rFonts w:cstheme="minorHAnsi"/>
                <w:sz w:val="24"/>
                <w:szCs w:val="24"/>
              </w:rPr>
              <w:t>Downs Barn</w:t>
            </w:r>
          </w:p>
        </w:tc>
        <w:tc>
          <w:tcPr>
            <w:tcW w:w="4791" w:type="dxa"/>
          </w:tcPr>
          <w:p w14:paraId="3B66EF4B" w14:textId="77777777" w:rsidR="00D64EF3" w:rsidRPr="00EE634B" w:rsidRDefault="00D64EF3" w:rsidP="00EE4CDE">
            <w:pPr>
              <w:rPr>
                <w:rFonts w:cstheme="minorHAnsi"/>
                <w:sz w:val="24"/>
                <w:szCs w:val="24"/>
              </w:rPr>
            </w:pPr>
            <w:r w:rsidRPr="00EE634B">
              <w:rPr>
                <w:rFonts w:cstheme="minorHAnsi"/>
                <w:sz w:val="24"/>
                <w:szCs w:val="24"/>
              </w:rPr>
              <w:t>30</w:t>
            </w:r>
          </w:p>
        </w:tc>
      </w:tr>
      <w:tr w:rsidR="00D64EF3" w14:paraId="347CD1C1" w14:textId="77777777" w:rsidTr="00EE4CDE">
        <w:tc>
          <w:tcPr>
            <w:tcW w:w="5098" w:type="dxa"/>
          </w:tcPr>
          <w:p w14:paraId="76296612" w14:textId="77777777" w:rsidR="00D64EF3" w:rsidRPr="00EE634B" w:rsidRDefault="00D64EF3" w:rsidP="00EE4CDE">
            <w:pPr>
              <w:rPr>
                <w:rFonts w:cstheme="minorHAnsi"/>
                <w:sz w:val="24"/>
                <w:szCs w:val="24"/>
              </w:rPr>
            </w:pPr>
            <w:r w:rsidRPr="00EE634B">
              <w:rPr>
                <w:rFonts w:cstheme="minorHAnsi"/>
                <w:sz w:val="24"/>
                <w:szCs w:val="24"/>
              </w:rPr>
              <w:t>Emerson Valley</w:t>
            </w:r>
          </w:p>
        </w:tc>
        <w:tc>
          <w:tcPr>
            <w:tcW w:w="4791" w:type="dxa"/>
          </w:tcPr>
          <w:p w14:paraId="2D3DBCB2" w14:textId="77777777" w:rsidR="00D64EF3" w:rsidRPr="00EE634B" w:rsidRDefault="00D64EF3" w:rsidP="00EE4CDE">
            <w:pPr>
              <w:rPr>
                <w:rFonts w:cstheme="minorHAnsi"/>
                <w:sz w:val="24"/>
                <w:szCs w:val="24"/>
              </w:rPr>
            </w:pPr>
            <w:r w:rsidRPr="00EE634B">
              <w:rPr>
                <w:rFonts w:cstheme="minorHAnsi"/>
                <w:sz w:val="24"/>
                <w:szCs w:val="24"/>
              </w:rPr>
              <w:t>120</w:t>
            </w:r>
          </w:p>
        </w:tc>
      </w:tr>
      <w:tr w:rsidR="00D64EF3" w14:paraId="4C69FE17" w14:textId="77777777" w:rsidTr="00EE4CDE">
        <w:tc>
          <w:tcPr>
            <w:tcW w:w="5098" w:type="dxa"/>
          </w:tcPr>
          <w:p w14:paraId="3387B1D4" w14:textId="77777777" w:rsidR="00D64EF3" w:rsidRPr="00EE634B" w:rsidRDefault="00D64EF3" w:rsidP="00EE4CDE">
            <w:pPr>
              <w:rPr>
                <w:rFonts w:cstheme="minorHAnsi"/>
                <w:sz w:val="24"/>
                <w:szCs w:val="24"/>
              </w:rPr>
            </w:pPr>
            <w:r w:rsidRPr="00EE634B">
              <w:rPr>
                <w:rFonts w:cstheme="minorHAnsi"/>
                <w:sz w:val="24"/>
                <w:szCs w:val="24"/>
              </w:rPr>
              <w:t>Falconhurst</w:t>
            </w:r>
          </w:p>
        </w:tc>
        <w:tc>
          <w:tcPr>
            <w:tcW w:w="4791" w:type="dxa"/>
          </w:tcPr>
          <w:p w14:paraId="77BDEE40" w14:textId="77777777" w:rsidR="00D64EF3" w:rsidRPr="00EE634B" w:rsidRDefault="00D64EF3" w:rsidP="00EE4CDE">
            <w:pPr>
              <w:rPr>
                <w:rFonts w:cstheme="minorHAnsi"/>
                <w:sz w:val="24"/>
                <w:szCs w:val="24"/>
              </w:rPr>
            </w:pPr>
            <w:r w:rsidRPr="00EE634B">
              <w:rPr>
                <w:rFonts w:cstheme="minorHAnsi"/>
                <w:sz w:val="24"/>
                <w:szCs w:val="24"/>
              </w:rPr>
              <w:t>45</w:t>
            </w:r>
          </w:p>
        </w:tc>
      </w:tr>
      <w:tr w:rsidR="00D64EF3" w14:paraId="6DCEB914" w14:textId="77777777" w:rsidTr="00EE4CDE">
        <w:tc>
          <w:tcPr>
            <w:tcW w:w="5098" w:type="dxa"/>
          </w:tcPr>
          <w:p w14:paraId="1945A77A" w14:textId="77777777" w:rsidR="00D64EF3" w:rsidRPr="00EE634B" w:rsidRDefault="00D64EF3" w:rsidP="00EE4CDE">
            <w:pPr>
              <w:rPr>
                <w:rFonts w:cstheme="minorHAnsi"/>
                <w:sz w:val="24"/>
                <w:szCs w:val="24"/>
              </w:rPr>
            </w:pPr>
            <w:r w:rsidRPr="00EE634B">
              <w:rPr>
                <w:rFonts w:cstheme="minorHAnsi"/>
                <w:sz w:val="24"/>
                <w:szCs w:val="24"/>
              </w:rPr>
              <w:t>Giffard Park Primary</w:t>
            </w:r>
          </w:p>
        </w:tc>
        <w:tc>
          <w:tcPr>
            <w:tcW w:w="4791" w:type="dxa"/>
          </w:tcPr>
          <w:p w14:paraId="2036B51C" w14:textId="77777777" w:rsidR="00D64EF3" w:rsidRPr="00EE634B" w:rsidRDefault="00D64EF3" w:rsidP="00EE4CDE">
            <w:pPr>
              <w:rPr>
                <w:rFonts w:cstheme="minorHAnsi"/>
                <w:sz w:val="24"/>
                <w:szCs w:val="24"/>
              </w:rPr>
            </w:pPr>
            <w:r w:rsidRPr="00EE634B">
              <w:rPr>
                <w:rFonts w:cstheme="minorHAnsi"/>
                <w:sz w:val="24"/>
                <w:szCs w:val="24"/>
              </w:rPr>
              <w:t>60</w:t>
            </w:r>
          </w:p>
        </w:tc>
      </w:tr>
      <w:tr w:rsidR="00D64EF3" w14:paraId="3B8F3EB9" w14:textId="77777777" w:rsidTr="00EE4CDE">
        <w:tc>
          <w:tcPr>
            <w:tcW w:w="5098" w:type="dxa"/>
          </w:tcPr>
          <w:p w14:paraId="2E9F202A" w14:textId="77777777" w:rsidR="00D64EF3" w:rsidRPr="00EE634B" w:rsidRDefault="00D64EF3" w:rsidP="00EE4CDE">
            <w:pPr>
              <w:rPr>
                <w:rFonts w:cstheme="minorHAnsi"/>
                <w:sz w:val="24"/>
                <w:szCs w:val="24"/>
              </w:rPr>
            </w:pPr>
            <w:r w:rsidRPr="00EE634B">
              <w:rPr>
                <w:rFonts w:cstheme="minorHAnsi"/>
                <w:sz w:val="24"/>
                <w:szCs w:val="24"/>
              </w:rPr>
              <w:t>Giles Brook Primary</w:t>
            </w:r>
          </w:p>
        </w:tc>
        <w:tc>
          <w:tcPr>
            <w:tcW w:w="4791" w:type="dxa"/>
          </w:tcPr>
          <w:p w14:paraId="29A1B451" w14:textId="77777777" w:rsidR="00D64EF3" w:rsidRPr="00EE634B" w:rsidRDefault="00D64EF3" w:rsidP="00EE4CDE">
            <w:pPr>
              <w:rPr>
                <w:rFonts w:cstheme="minorHAnsi"/>
                <w:sz w:val="24"/>
                <w:szCs w:val="24"/>
              </w:rPr>
            </w:pPr>
            <w:r w:rsidRPr="00EE634B">
              <w:rPr>
                <w:rFonts w:cstheme="minorHAnsi"/>
                <w:sz w:val="24"/>
                <w:szCs w:val="24"/>
              </w:rPr>
              <w:t>60</w:t>
            </w:r>
          </w:p>
        </w:tc>
      </w:tr>
      <w:tr w:rsidR="00D64EF3" w14:paraId="6E96D474" w14:textId="77777777" w:rsidTr="00EE4CDE">
        <w:tc>
          <w:tcPr>
            <w:tcW w:w="5098" w:type="dxa"/>
          </w:tcPr>
          <w:p w14:paraId="01661B00" w14:textId="77777777" w:rsidR="00D64EF3" w:rsidRPr="00EE634B" w:rsidRDefault="00D64EF3" w:rsidP="00EE4CDE">
            <w:pPr>
              <w:rPr>
                <w:rFonts w:cstheme="minorHAnsi"/>
                <w:sz w:val="24"/>
                <w:szCs w:val="24"/>
              </w:rPr>
            </w:pPr>
            <w:r w:rsidRPr="00EE634B">
              <w:rPr>
                <w:rFonts w:cstheme="minorHAnsi"/>
                <w:sz w:val="24"/>
                <w:szCs w:val="24"/>
              </w:rPr>
              <w:t>Great Linford Primary</w:t>
            </w:r>
          </w:p>
        </w:tc>
        <w:tc>
          <w:tcPr>
            <w:tcW w:w="4791" w:type="dxa"/>
          </w:tcPr>
          <w:p w14:paraId="45266FAB" w14:textId="77777777" w:rsidR="00D64EF3" w:rsidRPr="00EE634B" w:rsidRDefault="00D64EF3" w:rsidP="00EE4CDE">
            <w:pPr>
              <w:rPr>
                <w:rFonts w:cstheme="minorHAnsi"/>
                <w:sz w:val="24"/>
                <w:szCs w:val="24"/>
              </w:rPr>
            </w:pPr>
            <w:r w:rsidRPr="00EE634B">
              <w:rPr>
                <w:rFonts w:cstheme="minorHAnsi"/>
                <w:sz w:val="24"/>
                <w:szCs w:val="24"/>
              </w:rPr>
              <w:t>45 at age 4 (Year R) and 15 at age 7 (Year 3)</w:t>
            </w:r>
          </w:p>
        </w:tc>
      </w:tr>
      <w:tr w:rsidR="00D64EF3" w14:paraId="77E8E9D2" w14:textId="77777777" w:rsidTr="00EE4CDE">
        <w:tc>
          <w:tcPr>
            <w:tcW w:w="5098" w:type="dxa"/>
          </w:tcPr>
          <w:p w14:paraId="2B614992" w14:textId="77777777" w:rsidR="00D64EF3" w:rsidRPr="00EE634B" w:rsidRDefault="00D64EF3" w:rsidP="00EE4CDE">
            <w:pPr>
              <w:rPr>
                <w:rFonts w:cstheme="minorHAnsi"/>
                <w:sz w:val="24"/>
                <w:szCs w:val="24"/>
              </w:rPr>
            </w:pPr>
            <w:r w:rsidRPr="00EE634B">
              <w:rPr>
                <w:rFonts w:cstheme="minorHAnsi"/>
                <w:sz w:val="24"/>
                <w:szCs w:val="24"/>
              </w:rPr>
              <w:t>Greenleys First</w:t>
            </w:r>
          </w:p>
        </w:tc>
        <w:tc>
          <w:tcPr>
            <w:tcW w:w="4791" w:type="dxa"/>
          </w:tcPr>
          <w:p w14:paraId="4E504160" w14:textId="77777777" w:rsidR="00D64EF3" w:rsidRPr="00EE634B" w:rsidRDefault="00D64EF3" w:rsidP="00EE4CDE">
            <w:pPr>
              <w:rPr>
                <w:rFonts w:cstheme="minorHAnsi"/>
                <w:sz w:val="24"/>
                <w:szCs w:val="24"/>
              </w:rPr>
            </w:pPr>
            <w:r w:rsidRPr="00EE634B">
              <w:rPr>
                <w:rFonts w:cstheme="minorHAnsi"/>
                <w:sz w:val="24"/>
                <w:szCs w:val="24"/>
              </w:rPr>
              <w:t>30</w:t>
            </w:r>
          </w:p>
        </w:tc>
      </w:tr>
      <w:tr w:rsidR="00D64EF3" w14:paraId="62BFAFA3" w14:textId="77777777" w:rsidTr="00EE4CDE">
        <w:tc>
          <w:tcPr>
            <w:tcW w:w="5098" w:type="dxa"/>
          </w:tcPr>
          <w:p w14:paraId="3D5F1759" w14:textId="77777777" w:rsidR="00D64EF3" w:rsidRPr="00EE634B" w:rsidRDefault="00D64EF3" w:rsidP="00EE4CDE">
            <w:pPr>
              <w:rPr>
                <w:rFonts w:cstheme="minorHAnsi"/>
                <w:sz w:val="24"/>
                <w:szCs w:val="24"/>
              </w:rPr>
            </w:pPr>
            <w:r w:rsidRPr="00EE634B">
              <w:rPr>
                <w:rFonts w:cstheme="minorHAnsi"/>
                <w:sz w:val="24"/>
                <w:szCs w:val="24"/>
              </w:rPr>
              <w:t>Greenleys Junior</w:t>
            </w:r>
          </w:p>
        </w:tc>
        <w:tc>
          <w:tcPr>
            <w:tcW w:w="4791" w:type="dxa"/>
          </w:tcPr>
          <w:p w14:paraId="040F8721" w14:textId="77777777" w:rsidR="00D64EF3" w:rsidRPr="00EE634B" w:rsidRDefault="00D64EF3" w:rsidP="00EE4CDE">
            <w:pPr>
              <w:rPr>
                <w:rFonts w:cstheme="minorHAnsi"/>
                <w:sz w:val="24"/>
                <w:szCs w:val="24"/>
              </w:rPr>
            </w:pPr>
            <w:r w:rsidRPr="00EE634B">
              <w:rPr>
                <w:rFonts w:cstheme="minorHAnsi"/>
                <w:sz w:val="24"/>
                <w:szCs w:val="24"/>
              </w:rPr>
              <w:t>60</w:t>
            </w:r>
          </w:p>
        </w:tc>
      </w:tr>
      <w:tr w:rsidR="00D64EF3" w14:paraId="679633D7" w14:textId="77777777" w:rsidTr="00EE4CDE">
        <w:tc>
          <w:tcPr>
            <w:tcW w:w="5098" w:type="dxa"/>
          </w:tcPr>
          <w:p w14:paraId="6EC1F853" w14:textId="77777777" w:rsidR="00D64EF3" w:rsidRPr="00EE634B" w:rsidRDefault="00D64EF3" w:rsidP="00EE4CDE">
            <w:pPr>
              <w:rPr>
                <w:rFonts w:cstheme="minorHAnsi"/>
                <w:sz w:val="24"/>
                <w:szCs w:val="24"/>
              </w:rPr>
            </w:pPr>
            <w:r w:rsidRPr="00EE634B">
              <w:rPr>
                <w:rFonts w:cstheme="minorHAnsi"/>
                <w:sz w:val="24"/>
                <w:szCs w:val="24"/>
              </w:rPr>
              <w:t>Hanslope Primary</w:t>
            </w:r>
          </w:p>
        </w:tc>
        <w:tc>
          <w:tcPr>
            <w:tcW w:w="4791" w:type="dxa"/>
          </w:tcPr>
          <w:p w14:paraId="22606883" w14:textId="77777777" w:rsidR="00D64EF3" w:rsidRPr="00EE634B" w:rsidRDefault="00D64EF3" w:rsidP="00EE4CDE">
            <w:pPr>
              <w:rPr>
                <w:rFonts w:cstheme="minorHAnsi"/>
                <w:sz w:val="24"/>
                <w:szCs w:val="24"/>
              </w:rPr>
            </w:pPr>
            <w:r w:rsidRPr="00EE634B">
              <w:rPr>
                <w:rFonts w:cstheme="minorHAnsi"/>
                <w:sz w:val="24"/>
                <w:szCs w:val="24"/>
              </w:rPr>
              <w:t>60 at age 4 (Year R) and 15 at age 7 (Year 3)</w:t>
            </w:r>
          </w:p>
        </w:tc>
      </w:tr>
      <w:tr w:rsidR="00D64EF3" w14:paraId="4E735293" w14:textId="77777777" w:rsidTr="00EE4CDE">
        <w:tc>
          <w:tcPr>
            <w:tcW w:w="5098" w:type="dxa"/>
          </w:tcPr>
          <w:p w14:paraId="084FBF89" w14:textId="77777777" w:rsidR="00D64EF3" w:rsidRPr="00EE634B" w:rsidRDefault="00D64EF3" w:rsidP="00EE4CDE">
            <w:pPr>
              <w:rPr>
                <w:rFonts w:cstheme="minorHAnsi"/>
                <w:sz w:val="24"/>
                <w:szCs w:val="24"/>
              </w:rPr>
            </w:pPr>
            <w:r>
              <w:rPr>
                <w:rFonts w:cstheme="minorHAnsi"/>
                <w:sz w:val="24"/>
                <w:szCs w:val="24"/>
              </w:rPr>
              <w:t>Haversham Village</w:t>
            </w:r>
          </w:p>
        </w:tc>
        <w:tc>
          <w:tcPr>
            <w:tcW w:w="4791" w:type="dxa"/>
          </w:tcPr>
          <w:p w14:paraId="7673AAFB" w14:textId="77777777" w:rsidR="00D64EF3" w:rsidRPr="00EE634B" w:rsidRDefault="00D64EF3" w:rsidP="00EE4CDE">
            <w:pPr>
              <w:rPr>
                <w:rFonts w:cstheme="minorHAnsi"/>
                <w:sz w:val="24"/>
                <w:szCs w:val="24"/>
              </w:rPr>
            </w:pPr>
            <w:r>
              <w:rPr>
                <w:rFonts w:cstheme="minorHAnsi"/>
                <w:sz w:val="24"/>
                <w:szCs w:val="24"/>
              </w:rPr>
              <w:t>25</w:t>
            </w:r>
          </w:p>
        </w:tc>
      </w:tr>
      <w:tr w:rsidR="00D64EF3" w14:paraId="0F92DDDD" w14:textId="77777777" w:rsidTr="00EE4CDE">
        <w:tc>
          <w:tcPr>
            <w:tcW w:w="5098" w:type="dxa"/>
          </w:tcPr>
          <w:p w14:paraId="3933A0C1" w14:textId="77777777" w:rsidR="00D64EF3" w:rsidRPr="00EE634B" w:rsidRDefault="00D64EF3" w:rsidP="00EE4CDE">
            <w:pPr>
              <w:rPr>
                <w:rFonts w:cstheme="minorHAnsi"/>
                <w:sz w:val="24"/>
                <w:szCs w:val="24"/>
              </w:rPr>
            </w:pPr>
            <w:r>
              <w:rPr>
                <w:rFonts w:cstheme="minorHAnsi"/>
                <w:sz w:val="24"/>
                <w:szCs w:val="24"/>
              </w:rPr>
              <w:t>Heelands</w:t>
            </w:r>
          </w:p>
        </w:tc>
        <w:tc>
          <w:tcPr>
            <w:tcW w:w="4791" w:type="dxa"/>
          </w:tcPr>
          <w:p w14:paraId="0CAACD4E" w14:textId="77777777" w:rsidR="00D64EF3" w:rsidRPr="00EE634B" w:rsidRDefault="00D64EF3" w:rsidP="00EE4CDE">
            <w:pPr>
              <w:rPr>
                <w:rFonts w:cstheme="minorHAnsi"/>
                <w:sz w:val="24"/>
                <w:szCs w:val="24"/>
              </w:rPr>
            </w:pPr>
            <w:r>
              <w:rPr>
                <w:rFonts w:cstheme="minorHAnsi"/>
                <w:sz w:val="24"/>
                <w:szCs w:val="24"/>
              </w:rPr>
              <w:t>30</w:t>
            </w:r>
          </w:p>
        </w:tc>
      </w:tr>
      <w:tr w:rsidR="00D64EF3" w14:paraId="4E2A6E80" w14:textId="77777777" w:rsidTr="00EE4CDE">
        <w:tc>
          <w:tcPr>
            <w:tcW w:w="5098" w:type="dxa"/>
          </w:tcPr>
          <w:p w14:paraId="1056276D" w14:textId="77777777" w:rsidR="00D64EF3" w:rsidRPr="00EE634B" w:rsidRDefault="00D64EF3" w:rsidP="00EE4CDE">
            <w:pPr>
              <w:rPr>
                <w:rFonts w:cstheme="minorHAnsi"/>
                <w:sz w:val="24"/>
                <w:szCs w:val="24"/>
              </w:rPr>
            </w:pPr>
            <w:r>
              <w:rPr>
                <w:rFonts w:cstheme="minorHAnsi"/>
                <w:sz w:val="24"/>
                <w:szCs w:val="24"/>
              </w:rPr>
              <w:t>Howe Park</w:t>
            </w:r>
          </w:p>
        </w:tc>
        <w:tc>
          <w:tcPr>
            <w:tcW w:w="4791" w:type="dxa"/>
          </w:tcPr>
          <w:p w14:paraId="543346A8" w14:textId="77777777" w:rsidR="00D64EF3" w:rsidRPr="00EE634B" w:rsidRDefault="00D64EF3" w:rsidP="00EE4CDE">
            <w:pPr>
              <w:rPr>
                <w:rFonts w:cstheme="minorHAnsi"/>
                <w:sz w:val="24"/>
                <w:szCs w:val="24"/>
              </w:rPr>
            </w:pPr>
            <w:r>
              <w:rPr>
                <w:rFonts w:cstheme="minorHAnsi"/>
                <w:sz w:val="24"/>
                <w:szCs w:val="24"/>
              </w:rPr>
              <w:t>60</w:t>
            </w:r>
          </w:p>
        </w:tc>
      </w:tr>
      <w:tr w:rsidR="00D64EF3" w14:paraId="37C61AB9" w14:textId="77777777" w:rsidTr="00EE4CDE">
        <w:tc>
          <w:tcPr>
            <w:tcW w:w="5098" w:type="dxa"/>
          </w:tcPr>
          <w:p w14:paraId="4CDE0BAD" w14:textId="77777777" w:rsidR="00D64EF3" w:rsidRPr="00EE634B" w:rsidRDefault="00D64EF3" w:rsidP="00EE4CDE">
            <w:pPr>
              <w:rPr>
                <w:rFonts w:cstheme="minorHAnsi"/>
                <w:sz w:val="24"/>
                <w:szCs w:val="24"/>
              </w:rPr>
            </w:pPr>
            <w:r>
              <w:rPr>
                <w:rFonts w:cstheme="minorHAnsi"/>
                <w:sz w:val="24"/>
                <w:szCs w:val="24"/>
              </w:rPr>
              <w:t>Long Meadow</w:t>
            </w:r>
          </w:p>
        </w:tc>
        <w:tc>
          <w:tcPr>
            <w:tcW w:w="4791" w:type="dxa"/>
          </w:tcPr>
          <w:p w14:paraId="7D72CA41" w14:textId="77777777" w:rsidR="00D64EF3" w:rsidRPr="00EE634B" w:rsidRDefault="00D64EF3" w:rsidP="00EE4CDE">
            <w:pPr>
              <w:rPr>
                <w:rFonts w:cstheme="minorHAnsi"/>
                <w:sz w:val="24"/>
                <w:szCs w:val="24"/>
              </w:rPr>
            </w:pPr>
            <w:r>
              <w:rPr>
                <w:rFonts w:cstheme="minorHAnsi"/>
                <w:sz w:val="24"/>
                <w:szCs w:val="24"/>
              </w:rPr>
              <w:t>60</w:t>
            </w:r>
          </w:p>
        </w:tc>
      </w:tr>
      <w:tr w:rsidR="00D64EF3" w14:paraId="492B3EC9" w14:textId="77777777" w:rsidTr="00EE4CDE">
        <w:tc>
          <w:tcPr>
            <w:tcW w:w="5098" w:type="dxa"/>
          </w:tcPr>
          <w:p w14:paraId="45FBEF77" w14:textId="77777777" w:rsidR="00D64EF3" w:rsidRPr="00EE634B" w:rsidRDefault="00D64EF3" w:rsidP="00EE4CDE">
            <w:pPr>
              <w:rPr>
                <w:rFonts w:cstheme="minorHAnsi"/>
                <w:sz w:val="24"/>
                <w:szCs w:val="24"/>
              </w:rPr>
            </w:pPr>
            <w:r>
              <w:rPr>
                <w:rFonts w:cstheme="minorHAnsi"/>
                <w:sz w:val="24"/>
                <w:szCs w:val="24"/>
              </w:rPr>
              <w:t>Loughton Manor First</w:t>
            </w:r>
          </w:p>
        </w:tc>
        <w:tc>
          <w:tcPr>
            <w:tcW w:w="4791" w:type="dxa"/>
          </w:tcPr>
          <w:p w14:paraId="6D1E9446" w14:textId="77777777" w:rsidR="00D64EF3" w:rsidRPr="00EE634B" w:rsidRDefault="00D64EF3" w:rsidP="00EE4CDE">
            <w:pPr>
              <w:rPr>
                <w:rFonts w:cstheme="minorHAnsi"/>
                <w:sz w:val="24"/>
                <w:szCs w:val="24"/>
              </w:rPr>
            </w:pPr>
            <w:r>
              <w:rPr>
                <w:rFonts w:cstheme="minorHAnsi"/>
                <w:sz w:val="24"/>
                <w:szCs w:val="24"/>
              </w:rPr>
              <w:t>60</w:t>
            </w:r>
          </w:p>
        </w:tc>
      </w:tr>
      <w:tr w:rsidR="00D64EF3" w14:paraId="30C495F3" w14:textId="77777777" w:rsidTr="00EE4CDE">
        <w:tc>
          <w:tcPr>
            <w:tcW w:w="5098" w:type="dxa"/>
          </w:tcPr>
          <w:p w14:paraId="1B147A84" w14:textId="77777777" w:rsidR="00D64EF3" w:rsidRPr="00EE634B" w:rsidRDefault="00D64EF3" w:rsidP="00EE4CDE">
            <w:pPr>
              <w:rPr>
                <w:rFonts w:cstheme="minorHAnsi"/>
                <w:sz w:val="24"/>
                <w:szCs w:val="24"/>
              </w:rPr>
            </w:pPr>
            <w:r>
              <w:rPr>
                <w:rFonts w:cstheme="minorHAnsi"/>
                <w:sz w:val="24"/>
                <w:szCs w:val="24"/>
              </w:rPr>
              <w:t>Merebrook Infant</w:t>
            </w:r>
          </w:p>
        </w:tc>
        <w:tc>
          <w:tcPr>
            <w:tcW w:w="4791" w:type="dxa"/>
          </w:tcPr>
          <w:p w14:paraId="7BACD717" w14:textId="77777777" w:rsidR="00D64EF3" w:rsidRPr="00EE634B" w:rsidRDefault="00D64EF3" w:rsidP="00EE4CDE">
            <w:pPr>
              <w:rPr>
                <w:rFonts w:cstheme="minorHAnsi"/>
                <w:sz w:val="24"/>
                <w:szCs w:val="24"/>
              </w:rPr>
            </w:pPr>
            <w:r>
              <w:rPr>
                <w:rFonts w:cstheme="minorHAnsi"/>
                <w:sz w:val="24"/>
                <w:szCs w:val="24"/>
              </w:rPr>
              <w:t>60</w:t>
            </w:r>
          </w:p>
        </w:tc>
      </w:tr>
      <w:tr w:rsidR="00D64EF3" w14:paraId="192237FF" w14:textId="77777777" w:rsidTr="00EE4CDE">
        <w:tc>
          <w:tcPr>
            <w:tcW w:w="5098" w:type="dxa"/>
          </w:tcPr>
          <w:p w14:paraId="00B96A37" w14:textId="77777777" w:rsidR="00D64EF3" w:rsidRPr="00EE634B" w:rsidRDefault="00D64EF3" w:rsidP="00EE4CDE">
            <w:pPr>
              <w:rPr>
                <w:rFonts w:cstheme="minorHAnsi"/>
                <w:sz w:val="24"/>
                <w:szCs w:val="24"/>
              </w:rPr>
            </w:pPr>
            <w:r>
              <w:rPr>
                <w:rFonts w:cstheme="minorHAnsi"/>
                <w:sz w:val="24"/>
                <w:szCs w:val="24"/>
              </w:rPr>
              <w:t>Newton Blossomville CE</w:t>
            </w:r>
          </w:p>
        </w:tc>
        <w:tc>
          <w:tcPr>
            <w:tcW w:w="4791" w:type="dxa"/>
          </w:tcPr>
          <w:p w14:paraId="642C78C6" w14:textId="77777777" w:rsidR="00D64EF3" w:rsidRPr="00EE634B" w:rsidRDefault="00D64EF3" w:rsidP="00EE4CDE">
            <w:pPr>
              <w:rPr>
                <w:rFonts w:cstheme="minorHAnsi"/>
                <w:sz w:val="24"/>
                <w:szCs w:val="24"/>
              </w:rPr>
            </w:pPr>
            <w:r>
              <w:rPr>
                <w:rFonts w:cstheme="minorHAnsi"/>
                <w:sz w:val="24"/>
                <w:szCs w:val="24"/>
              </w:rPr>
              <w:t>8</w:t>
            </w:r>
          </w:p>
        </w:tc>
      </w:tr>
      <w:tr w:rsidR="00605997" w:rsidRPr="00EE634B" w14:paraId="3C3C0D92" w14:textId="77777777" w:rsidTr="00EE4CDE">
        <w:tc>
          <w:tcPr>
            <w:tcW w:w="5098" w:type="dxa"/>
          </w:tcPr>
          <w:p w14:paraId="04C057D5" w14:textId="77777777" w:rsidR="00605997" w:rsidRPr="00EE634B" w:rsidRDefault="00605997" w:rsidP="00EE4CDE">
            <w:pPr>
              <w:rPr>
                <w:rFonts w:cstheme="minorHAnsi"/>
                <w:color w:val="000000" w:themeColor="text1"/>
                <w:sz w:val="24"/>
                <w:szCs w:val="24"/>
              </w:rPr>
            </w:pPr>
            <w:r>
              <w:rPr>
                <w:rFonts w:cstheme="minorHAnsi"/>
                <w:color w:val="000000" w:themeColor="text1"/>
                <w:sz w:val="24"/>
                <w:szCs w:val="24"/>
              </w:rPr>
              <w:t>Newton Leys Primary</w:t>
            </w:r>
          </w:p>
        </w:tc>
        <w:tc>
          <w:tcPr>
            <w:tcW w:w="4791" w:type="dxa"/>
          </w:tcPr>
          <w:p w14:paraId="61F62D7D" w14:textId="77777777" w:rsidR="00605997" w:rsidRPr="00EE634B" w:rsidRDefault="00605997" w:rsidP="00EE4CDE">
            <w:pPr>
              <w:rPr>
                <w:rFonts w:cstheme="minorHAnsi"/>
                <w:color w:val="000000" w:themeColor="text1"/>
                <w:sz w:val="24"/>
                <w:szCs w:val="24"/>
              </w:rPr>
            </w:pPr>
            <w:r>
              <w:rPr>
                <w:rFonts w:cstheme="minorHAnsi"/>
                <w:color w:val="000000" w:themeColor="text1"/>
                <w:sz w:val="24"/>
                <w:szCs w:val="24"/>
              </w:rPr>
              <w:t>90</w:t>
            </w:r>
          </w:p>
        </w:tc>
      </w:tr>
      <w:tr w:rsidR="00605997" w:rsidRPr="00EE634B" w14:paraId="16D5D79C" w14:textId="77777777" w:rsidTr="00EE4CDE">
        <w:tc>
          <w:tcPr>
            <w:tcW w:w="5098" w:type="dxa"/>
          </w:tcPr>
          <w:p w14:paraId="66E168DD" w14:textId="77777777" w:rsidR="00605997" w:rsidRPr="00EE634B" w:rsidRDefault="00605997" w:rsidP="00EE4CDE">
            <w:pPr>
              <w:rPr>
                <w:rFonts w:cstheme="minorHAnsi"/>
                <w:color w:val="000000" w:themeColor="text1"/>
                <w:sz w:val="24"/>
                <w:szCs w:val="24"/>
              </w:rPr>
            </w:pPr>
            <w:r>
              <w:rPr>
                <w:rFonts w:cstheme="minorHAnsi"/>
                <w:color w:val="000000" w:themeColor="text1"/>
                <w:sz w:val="24"/>
                <w:szCs w:val="24"/>
              </w:rPr>
              <w:t>North Crawley CE</w:t>
            </w:r>
          </w:p>
        </w:tc>
        <w:tc>
          <w:tcPr>
            <w:tcW w:w="4791" w:type="dxa"/>
          </w:tcPr>
          <w:p w14:paraId="7080C36B" w14:textId="77777777" w:rsidR="00605997" w:rsidRPr="00EE634B" w:rsidRDefault="00605997" w:rsidP="00EE4CDE">
            <w:pPr>
              <w:rPr>
                <w:rFonts w:cstheme="minorHAnsi"/>
                <w:color w:val="000000" w:themeColor="text1"/>
                <w:sz w:val="24"/>
                <w:szCs w:val="24"/>
              </w:rPr>
            </w:pPr>
            <w:r>
              <w:rPr>
                <w:rFonts w:cstheme="minorHAnsi"/>
                <w:color w:val="000000" w:themeColor="text1"/>
                <w:sz w:val="24"/>
                <w:szCs w:val="24"/>
              </w:rPr>
              <w:t>15</w:t>
            </w:r>
          </w:p>
        </w:tc>
      </w:tr>
      <w:tr w:rsidR="00605997" w:rsidRPr="00EE634B" w14:paraId="5AEFE0D7" w14:textId="77777777" w:rsidTr="00EE4CDE">
        <w:tc>
          <w:tcPr>
            <w:tcW w:w="5098" w:type="dxa"/>
          </w:tcPr>
          <w:p w14:paraId="24BD3957" w14:textId="77777777" w:rsidR="00605997" w:rsidRPr="00EE634B" w:rsidRDefault="00605997" w:rsidP="00EE4CDE">
            <w:pPr>
              <w:rPr>
                <w:rFonts w:cstheme="minorHAnsi"/>
                <w:color w:val="000000" w:themeColor="text1"/>
                <w:sz w:val="24"/>
                <w:szCs w:val="24"/>
              </w:rPr>
            </w:pPr>
            <w:r>
              <w:rPr>
                <w:rFonts w:cstheme="minorHAnsi"/>
                <w:color w:val="000000" w:themeColor="text1"/>
                <w:sz w:val="24"/>
                <w:szCs w:val="24"/>
              </w:rPr>
              <w:t>Oldbrook First</w:t>
            </w:r>
          </w:p>
        </w:tc>
        <w:tc>
          <w:tcPr>
            <w:tcW w:w="4791" w:type="dxa"/>
          </w:tcPr>
          <w:p w14:paraId="0A4D84E4" w14:textId="77777777" w:rsidR="00605997" w:rsidRPr="00EE634B" w:rsidRDefault="00605997" w:rsidP="00EE4CDE">
            <w:pPr>
              <w:rPr>
                <w:rFonts w:cstheme="minorHAnsi"/>
                <w:color w:val="000000" w:themeColor="text1"/>
                <w:sz w:val="24"/>
                <w:szCs w:val="24"/>
              </w:rPr>
            </w:pPr>
            <w:r>
              <w:rPr>
                <w:rFonts w:cstheme="minorHAnsi"/>
                <w:color w:val="000000" w:themeColor="text1"/>
                <w:sz w:val="24"/>
                <w:szCs w:val="24"/>
              </w:rPr>
              <w:t>60</w:t>
            </w:r>
          </w:p>
        </w:tc>
      </w:tr>
      <w:tr w:rsidR="00605997" w:rsidRPr="00EE634B" w14:paraId="77480E75" w14:textId="77777777" w:rsidTr="00EE4CDE">
        <w:tc>
          <w:tcPr>
            <w:tcW w:w="5098" w:type="dxa"/>
          </w:tcPr>
          <w:p w14:paraId="3F9172EB" w14:textId="77777777" w:rsidR="00605997" w:rsidRPr="00EE634B" w:rsidRDefault="00605997" w:rsidP="00EE4CDE">
            <w:pPr>
              <w:rPr>
                <w:rFonts w:cstheme="minorHAnsi"/>
                <w:color w:val="000000" w:themeColor="text1"/>
                <w:sz w:val="24"/>
                <w:szCs w:val="24"/>
              </w:rPr>
            </w:pPr>
            <w:r>
              <w:rPr>
                <w:rFonts w:cstheme="minorHAnsi"/>
                <w:color w:val="000000" w:themeColor="text1"/>
                <w:sz w:val="24"/>
                <w:szCs w:val="24"/>
              </w:rPr>
              <w:t>Pepper Hill</w:t>
            </w:r>
          </w:p>
        </w:tc>
        <w:tc>
          <w:tcPr>
            <w:tcW w:w="4791" w:type="dxa"/>
          </w:tcPr>
          <w:p w14:paraId="49F280E8" w14:textId="77777777" w:rsidR="00605997" w:rsidRPr="00EE634B" w:rsidRDefault="00605997" w:rsidP="00EE4CDE">
            <w:pPr>
              <w:rPr>
                <w:rFonts w:cstheme="minorHAnsi"/>
                <w:color w:val="000000" w:themeColor="text1"/>
                <w:sz w:val="24"/>
                <w:szCs w:val="24"/>
              </w:rPr>
            </w:pPr>
            <w:r>
              <w:rPr>
                <w:rFonts w:cstheme="minorHAnsi"/>
                <w:color w:val="000000" w:themeColor="text1"/>
                <w:sz w:val="24"/>
                <w:szCs w:val="24"/>
              </w:rPr>
              <w:t>60</w:t>
            </w:r>
          </w:p>
        </w:tc>
      </w:tr>
      <w:tr w:rsidR="00605997" w:rsidRPr="00EE634B" w14:paraId="18606FB3" w14:textId="77777777" w:rsidTr="00EE4CDE">
        <w:tc>
          <w:tcPr>
            <w:tcW w:w="5098" w:type="dxa"/>
          </w:tcPr>
          <w:p w14:paraId="225F97F7" w14:textId="77777777" w:rsidR="00605997" w:rsidRPr="00EE634B" w:rsidRDefault="00605997" w:rsidP="00EE4CDE">
            <w:pPr>
              <w:rPr>
                <w:rFonts w:cstheme="minorHAnsi"/>
                <w:color w:val="000000" w:themeColor="text1"/>
                <w:sz w:val="24"/>
                <w:szCs w:val="24"/>
              </w:rPr>
            </w:pPr>
            <w:r>
              <w:rPr>
                <w:rFonts w:cstheme="minorHAnsi"/>
                <w:color w:val="000000" w:themeColor="text1"/>
                <w:sz w:val="24"/>
                <w:szCs w:val="24"/>
              </w:rPr>
              <w:t>Priory Common</w:t>
            </w:r>
          </w:p>
        </w:tc>
        <w:tc>
          <w:tcPr>
            <w:tcW w:w="4791" w:type="dxa"/>
          </w:tcPr>
          <w:p w14:paraId="4855A324" w14:textId="77777777" w:rsidR="00605997" w:rsidRPr="00EE634B" w:rsidRDefault="00605997" w:rsidP="00EE4CDE">
            <w:pPr>
              <w:rPr>
                <w:rFonts w:cstheme="minorHAnsi"/>
                <w:color w:val="000000" w:themeColor="text1"/>
                <w:sz w:val="24"/>
                <w:szCs w:val="24"/>
              </w:rPr>
            </w:pPr>
            <w:r>
              <w:rPr>
                <w:rFonts w:cstheme="minorHAnsi"/>
                <w:color w:val="000000" w:themeColor="text1"/>
                <w:sz w:val="24"/>
                <w:szCs w:val="24"/>
              </w:rPr>
              <w:t>30</w:t>
            </w:r>
          </w:p>
        </w:tc>
      </w:tr>
      <w:tr w:rsidR="00605997" w:rsidRPr="00EE634B" w14:paraId="4F22205C" w14:textId="77777777" w:rsidTr="00EE4CDE">
        <w:tc>
          <w:tcPr>
            <w:tcW w:w="5098" w:type="dxa"/>
          </w:tcPr>
          <w:p w14:paraId="46A9F4C7" w14:textId="77777777" w:rsidR="00605997" w:rsidRPr="00EE634B" w:rsidRDefault="00605997" w:rsidP="00EE4CDE">
            <w:pPr>
              <w:rPr>
                <w:rFonts w:cstheme="minorHAnsi"/>
                <w:color w:val="000000" w:themeColor="text1"/>
                <w:sz w:val="24"/>
                <w:szCs w:val="24"/>
              </w:rPr>
            </w:pPr>
            <w:r>
              <w:rPr>
                <w:rFonts w:cstheme="minorHAnsi"/>
                <w:color w:val="000000" w:themeColor="text1"/>
                <w:sz w:val="24"/>
                <w:szCs w:val="24"/>
              </w:rPr>
              <w:t>Russell Street</w:t>
            </w:r>
          </w:p>
        </w:tc>
        <w:tc>
          <w:tcPr>
            <w:tcW w:w="4791" w:type="dxa"/>
          </w:tcPr>
          <w:p w14:paraId="01204C77" w14:textId="77777777" w:rsidR="00605997" w:rsidRPr="00EE634B" w:rsidRDefault="00605997" w:rsidP="00EE4CDE">
            <w:pPr>
              <w:rPr>
                <w:rFonts w:cstheme="minorHAnsi"/>
                <w:color w:val="000000" w:themeColor="text1"/>
                <w:sz w:val="24"/>
                <w:szCs w:val="24"/>
              </w:rPr>
            </w:pPr>
            <w:r>
              <w:rPr>
                <w:rFonts w:cstheme="minorHAnsi"/>
                <w:color w:val="000000" w:themeColor="text1"/>
                <w:sz w:val="24"/>
                <w:szCs w:val="24"/>
              </w:rPr>
              <w:t>60</w:t>
            </w:r>
          </w:p>
        </w:tc>
      </w:tr>
    </w:tbl>
    <w:p w14:paraId="7F20146D" w14:textId="77777777" w:rsidR="00605997" w:rsidRDefault="00605997">
      <w:r>
        <w:br w:type="page"/>
      </w:r>
    </w:p>
    <w:tbl>
      <w:tblPr>
        <w:tblStyle w:val="TableGrid"/>
        <w:tblW w:w="0" w:type="auto"/>
        <w:tblInd w:w="567" w:type="dxa"/>
        <w:tblLook w:val="04A0" w:firstRow="1" w:lastRow="0" w:firstColumn="1" w:lastColumn="0" w:noHBand="0" w:noVBand="1"/>
      </w:tblPr>
      <w:tblGrid>
        <w:gridCol w:w="5098"/>
        <w:gridCol w:w="4791"/>
      </w:tblGrid>
      <w:tr w:rsidR="00605997" w:rsidRPr="00EE634B" w14:paraId="21A0A62B" w14:textId="77777777" w:rsidTr="00EE4CDE">
        <w:tc>
          <w:tcPr>
            <w:tcW w:w="5098" w:type="dxa"/>
          </w:tcPr>
          <w:p w14:paraId="19D9D8F6" w14:textId="00B6C7EA" w:rsidR="00605997" w:rsidRDefault="00605997" w:rsidP="00605997">
            <w:pPr>
              <w:rPr>
                <w:rFonts w:cstheme="minorHAnsi"/>
                <w:color w:val="000000" w:themeColor="text1"/>
                <w:sz w:val="24"/>
                <w:szCs w:val="24"/>
              </w:rPr>
            </w:pPr>
            <w:r w:rsidRPr="00EE634B">
              <w:rPr>
                <w:rFonts w:cstheme="minorHAnsi"/>
                <w:b/>
                <w:bCs/>
                <w:color w:val="000000" w:themeColor="text1"/>
                <w:sz w:val="24"/>
                <w:szCs w:val="24"/>
              </w:rPr>
              <w:lastRenderedPageBreak/>
              <w:t>School</w:t>
            </w:r>
          </w:p>
        </w:tc>
        <w:tc>
          <w:tcPr>
            <w:tcW w:w="4791" w:type="dxa"/>
          </w:tcPr>
          <w:p w14:paraId="55651342" w14:textId="1BA41498" w:rsidR="00605997" w:rsidRDefault="00605997" w:rsidP="00605997">
            <w:pPr>
              <w:rPr>
                <w:rFonts w:cstheme="minorHAnsi"/>
                <w:color w:val="000000" w:themeColor="text1"/>
                <w:sz w:val="24"/>
                <w:szCs w:val="24"/>
              </w:rPr>
            </w:pPr>
            <w:r w:rsidRPr="00EE634B">
              <w:rPr>
                <w:rFonts w:cstheme="minorHAnsi"/>
                <w:b/>
                <w:bCs/>
                <w:color w:val="000000" w:themeColor="text1"/>
                <w:sz w:val="24"/>
                <w:szCs w:val="24"/>
              </w:rPr>
              <w:t>Proposed published admission number 2026</w:t>
            </w:r>
          </w:p>
        </w:tc>
      </w:tr>
      <w:tr w:rsidR="00605997" w:rsidRPr="00EE634B" w14:paraId="0E21FB97" w14:textId="77777777" w:rsidTr="00EE4CDE">
        <w:tc>
          <w:tcPr>
            <w:tcW w:w="5098" w:type="dxa"/>
          </w:tcPr>
          <w:p w14:paraId="6B404CED" w14:textId="77777777" w:rsidR="00605997" w:rsidRPr="00EE634B" w:rsidRDefault="00605997" w:rsidP="00605997">
            <w:pPr>
              <w:rPr>
                <w:rFonts w:cstheme="minorHAnsi"/>
                <w:color w:val="000000" w:themeColor="text1"/>
                <w:sz w:val="24"/>
                <w:szCs w:val="24"/>
              </w:rPr>
            </w:pPr>
            <w:r>
              <w:rPr>
                <w:rFonts w:cstheme="minorHAnsi"/>
                <w:color w:val="000000" w:themeColor="text1"/>
                <w:sz w:val="24"/>
                <w:szCs w:val="24"/>
              </w:rPr>
              <w:t>Sherington CE</w:t>
            </w:r>
          </w:p>
        </w:tc>
        <w:tc>
          <w:tcPr>
            <w:tcW w:w="4791" w:type="dxa"/>
          </w:tcPr>
          <w:p w14:paraId="1CD40DCC" w14:textId="77777777" w:rsidR="00605997" w:rsidRPr="00EE634B" w:rsidRDefault="00605997" w:rsidP="00605997">
            <w:pPr>
              <w:rPr>
                <w:rFonts w:cstheme="minorHAnsi"/>
                <w:color w:val="000000" w:themeColor="text1"/>
                <w:sz w:val="24"/>
                <w:szCs w:val="24"/>
              </w:rPr>
            </w:pPr>
            <w:r>
              <w:rPr>
                <w:rFonts w:cstheme="minorHAnsi"/>
                <w:color w:val="000000" w:themeColor="text1"/>
                <w:sz w:val="24"/>
                <w:szCs w:val="24"/>
              </w:rPr>
              <w:t>10</w:t>
            </w:r>
          </w:p>
        </w:tc>
      </w:tr>
      <w:tr w:rsidR="00605997" w:rsidRPr="00EE634B" w14:paraId="0571DC6C" w14:textId="77777777" w:rsidTr="00EE4CDE">
        <w:tc>
          <w:tcPr>
            <w:tcW w:w="5098" w:type="dxa"/>
          </w:tcPr>
          <w:p w14:paraId="48BD9756" w14:textId="77777777" w:rsidR="00605997" w:rsidRPr="00EE634B" w:rsidRDefault="00605997" w:rsidP="00605997">
            <w:pPr>
              <w:rPr>
                <w:rFonts w:cstheme="minorHAnsi"/>
                <w:sz w:val="24"/>
                <w:szCs w:val="24"/>
              </w:rPr>
            </w:pPr>
            <w:r>
              <w:rPr>
                <w:rFonts w:cstheme="minorHAnsi"/>
                <w:sz w:val="24"/>
                <w:szCs w:val="24"/>
              </w:rPr>
              <w:t>St Andrew’s CE Infant</w:t>
            </w:r>
          </w:p>
        </w:tc>
        <w:tc>
          <w:tcPr>
            <w:tcW w:w="4791" w:type="dxa"/>
          </w:tcPr>
          <w:p w14:paraId="2C63A306" w14:textId="77777777" w:rsidR="00605997" w:rsidRPr="00EE634B" w:rsidRDefault="00605997" w:rsidP="00605997">
            <w:pPr>
              <w:rPr>
                <w:rFonts w:cstheme="minorHAnsi"/>
                <w:sz w:val="24"/>
                <w:szCs w:val="24"/>
              </w:rPr>
            </w:pPr>
            <w:r>
              <w:rPr>
                <w:rFonts w:cstheme="minorHAnsi"/>
                <w:sz w:val="24"/>
                <w:szCs w:val="24"/>
              </w:rPr>
              <w:t>10</w:t>
            </w:r>
          </w:p>
        </w:tc>
      </w:tr>
      <w:tr w:rsidR="00605997" w:rsidRPr="00EE634B" w14:paraId="3CAEBEDE" w14:textId="77777777" w:rsidTr="00EE4CDE">
        <w:tc>
          <w:tcPr>
            <w:tcW w:w="5098" w:type="dxa"/>
          </w:tcPr>
          <w:p w14:paraId="7C21DA65" w14:textId="77777777" w:rsidR="00605997" w:rsidRPr="00EE634B" w:rsidRDefault="00605997" w:rsidP="00605997">
            <w:pPr>
              <w:rPr>
                <w:rFonts w:cstheme="minorHAnsi"/>
                <w:sz w:val="24"/>
                <w:szCs w:val="24"/>
              </w:rPr>
            </w:pPr>
            <w:r>
              <w:rPr>
                <w:rFonts w:cstheme="minorHAnsi"/>
                <w:sz w:val="24"/>
                <w:szCs w:val="24"/>
              </w:rPr>
              <w:t>St Mary’s Wavendon CofE Primary</w:t>
            </w:r>
          </w:p>
        </w:tc>
        <w:tc>
          <w:tcPr>
            <w:tcW w:w="4791" w:type="dxa"/>
          </w:tcPr>
          <w:p w14:paraId="39C4599D" w14:textId="77777777" w:rsidR="00605997" w:rsidRPr="00EE634B" w:rsidRDefault="00605997" w:rsidP="00605997">
            <w:pPr>
              <w:rPr>
                <w:rFonts w:cstheme="minorHAnsi"/>
                <w:sz w:val="24"/>
                <w:szCs w:val="24"/>
              </w:rPr>
            </w:pPr>
            <w:r>
              <w:rPr>
                <w:rFonts w:cstheme="minorHAnsi"/>
                <w:sz w:val="24"/>
                <w:szCs w:val="24"/>
              </w:rPr>
              <w:t>60</w:t>
            </w:r>
          </w:p>
        </w:tc>
      </w:tr>
      <w:tr w:rsidR="00605997" w:rsidRPr="00EE634B" w14:paraId="7713614E" w14:textId="77777777" w:rsidTr="00EE4CDE">
        <w:tc>
          <w:tcPr>
            <w:tcW w:w="5098" w:type="dxa"/>
          </w:tcPr>
          <w:p w14:paraId="16DD1488" w14:textId="77777777" w:rsidR="00605997" w:rsidRPr="00EE634B" w:rsidRDefault="00605997" w:rsidP="00605997">
            <w:pPr>
              <w:rPr>
                <w:rFonts w:cstheme="minorHAnsi"/>
                <w:sz w:val="24"/>
                <w:szCs w:val="24"/>
              </w:rPr>
            </w:pPr>
            <w:r>
              <w:rPr>
                <w:rFonts w:cstheme="minorHAnsi"/>
                <w:sz w:val="24"/>
                <w:szCs w:val="24"/>
              </w:rPr>
              <w:t>Stoke Goldington CE First</w:t>
            </w:r>
          </w:p>
        </w:tc>
        <w:tc>
          <w:tcPr>
            <w:tcW w:w="4791" w:type="dxa"/>
          </w:tcPr>
          <w:p w14:paraId="3A695CA1" w14:textId="77777777" w:rsidR="00605997" w:rsidRPr="00EE634B" w:rsidRDefault="00605997" w:rsidP="00605997">
            <w:pPr>
              <w:rPr>
                <w:rFonts w:cstheme="minorHAnsi"/>
                <w:sz w:val="24"/>
                <w:szCs w:val="24"/>
              </w:rPr>
            </w:pPr>
            <w:r>
              <w:rPr>
                <w:rFonts w:cstheme="minorHAnsi"/>
                <w:sz w:val="24"/>
                <w:szCs w:val="24"/>
              </w:rPr>
              <w:t>10</w:t>
            </w:r>
          </w:p>
        </w:tc>
      </w:tr>
      <w:tr w:rsidR="00605997" w:rsidRPr="00EE634B" w14:paraId="3BC5BD87" w14:textId="77777777" w:rsidTr="00EE4CDE">
        <w:tc>
          <w:tcPr>
            <w:tcW w:w="5098" w:type="dxa"/>
          </w:tcPr>
          <w:p w14:paraId="3D88DEDA" w14:textId="77777777" w:rsidR="00605997" w:rsidRPr="00EE634B" w:rsidRDefault="00605997" w:rsidP="00605997">
            <w:pPr>
              <w:rPr>
                <w:rFonts w:cstheme="minorHAnsi"/>
                <w:sz w:val="24"/>
                <w:szCs w:val="24"/>
              </w:rPr>
            </w:pPr>
            <w:r>
              <w:rPr>
                <w:rFonts w:cstheme="minorHAnsi"/>
                <w:sz w:val="24"/>
                <w:szCs w:val="24"/>
              </w:rPr>
              <w:t>Summerfield</w:t>
            </w:r>
          </w:p>
        </w:tc>
        <w:tc>
          <w:tcPr>
            <w:tcW w:w="4791" w:type="dxa"/>
          </w:tcPr>
          <w:p w14:paraId="46DA323A" w14:textId="77777777" w:rsidR="00605997" w:rsidRPr="00EE634B" w:rsidRDefault="00605997" w:rsidP="00605997">
            <w:pPr>
              <w:rPr>
                <w:rFonts w:cstheme="minorHAnsi"/>
                <w:sz w:val="24"/>
                <w:szCs w:val="24"/>
              </w:rPr>
            </w:pPr>
            <w:r>
              <w:rPr>
                <w:rFonts w:cstheme="minorHAnsi"/>
                <w:sz w:val="24"/>
                <w:szCs w:val="24"/>
              </w:rPr>
              <w:t>52</w:t>
            </w:r>
          </w:p>
        </w:tc>
      </w:tr>
      <w:tr w:rsidR="00605997" w:rsidRPr="00EE634B" w14:paraId="79B2D377" w14:textId="77777777" w:rsidTr="00EE4CDE">
        <w:tc>
          <w:tcPr>
            <w:tcW w:w="5098" w:type="dxa"/>
          </w:tcPr>
          <w:p w14:paraId="2C04B172" w14:textId="77777777" w:rsidR="00605997" w:rsidRPr="00EE634B" w:rsidRDefault="00605997" w:rsidP="00605997">
            <w:pPr>
              <w:rPr>
                <w:rFonts w:cstheme="minorHAnsi"/>
                <w:sz w:val="24"/>
                <w:szCs w:val="24"/>
              </w:rPr>
            </w:pPr>
            <w:r>
              <w:rPr>
                <w:rFonts w:cstheme="minorHAnsi"/>
                <w:sz w:val="24"/>
                <w:szCs w:val="24"/>
              </w:rPr>
              <w:t>The Willows School &amp; Early Years Centre</w:t>
            </w:r>
          </w:p>
        </w:tc>
        <w:tc>
          <w:tcPr>
            <w:tcW w:w="4791" w:type="dxa"/>
          </w:tcPr>
          <w:p w14:paraId="4B182E3E" w14:textId="77777777" w:rsidR="00605997" w:rsidRPr="00EE634B" w:rsidRDefault="00605997" w:rsidP="00605997">
            <w:pPr>
              <w:rPr>
                <w:rFonts w:cstheme="minorHAnsi"/>
                <w:sz w:val="24"/>
                <w:szCs w:val="24"/>
              </w:rPr>
            </w:pPr>
            <w:r>
              <w:rPr>
                <w:rFonts w:cstheme="minorHAnsi"/>
                <w:sz w:val="24"/>
                <w:szCs w:val="24"/>
              </w:rPr>
              <w:t>45</w:t>
            </w:r>
          </w:p>
        </w:tc>
      </w:tr>
      <w:tr w:rsidR="00605997" w:rsidRPr="00EE634B" w14:paraId="18841482" w14:textId="77777777" w:rsidTr="00EE4CDE">
        <w:tc>
          <w:tcPr>
            <w:tcW w:w="5098" w:type="dxa"/>
          </w:tcPr>
          <w:p w14:paraId="5C677F5B" w14:textId="77777777" w:rsidR="00605997" w:rsidRPr="00EE634B" w:rsidRDefault="00605997" w:rsidP="00605997">
            <w:pPr>
              <w:rPr>
                <w:rFonts w:cstheme="minorHAnsi"/>
                <w:sz w:val="24"/>
                <w:szCs w:val="24"/>
              </w:rPr>
            </w:pPr>
            <w:r>
              <w:rPr>
                <w:rFonts w:cstheme="minorHAnsi"/>
                <w:sz w:val="24"/>
                <w:szCs w:val="24"/>
              </w:rPr>
              <w:t>Wavendon Gate</w:t>
            </w:r>
          </w:p>
        </w:tc>
        <w:tc>
          <w:tcPr>
            <w:tcW w:w="4791" w:type="dxa"/>
          </w:tcPr>
          <w:p w14:paraId="098D9B1B" w14:textId="77777777" w:rsidR="00605997" w:rsidRPr="00EE634B" w:rsidRDefault="00605997" w:rsidP="00605997">
            <w:pPr>
              <w:rPr>
                <w:rFonts w:cstheme="minorHAnsi"/>
                <w:sz w:val="24"/>
                <w:szCs w:val="24"/>
              </w:rPr>
            </w:pPr>
            <w:r>
              <w:rPr>
                <w:rFonts w:cstheme="minorHAnsi"/>
                <w:sz w:val="24"/>
                <w:szCs w:val="24"/>
              </w:rPr>
              <w:t>60</w:t>
            </w:r>
          </w:p>
        </w:tc>
      </w:tr>
      <w:tr w:rsidR="00605997" w:rsidRPr="00EE634B" w14:paraId="3FD38BDB" w14:textId="77777777" w:rsidTr="00EE4CDE">
        <w:tc>
          <w:tcPr>
            <w:tcW w:w="5098" w:type="dxa"/>
          </w:tcPr>
          <w:p w14:paraId="1E136D76" w14:textId="77777777" w:rsidR="00605997" w:rsidRPr="00EE634B" w:rsidRDefault="00605997" w:rsidP="00605997">
            <w:pPr>
              <w:rPr>
                <w:rFonts w:cstheme="minorHAnsi"/>
                <w:sz w:val="24"/>
                <w:szCs w:val="24"/>
              </w:rPr>
            </w:pPr>
            <w:r>
              <w:rPr>
                <w:rFonts w:cstheme="minorHAnsi"/>
                <w:sz w:val="24"/>
                <w:szCs w:val="24"/>
              </w:rPr>
              <w:t>Wood End First</w:t>
            </w:r>
          </w:p>
        </w:tc>
        <w:tc>
          <w:tcPr>
            <w:tcW w:w="4791" w:type="dxa"/>
          </w:tcPr>
          <w:p w14:paraId="6A5AFE1D" w14:textId="77777777" w:rsidR="00605997" w:rsidRPr="00EE634B" w:rsidRDefault="00605997" w:rsidP="00605997">
            <w:pPr>
              <w:rPr>
                <w:rFonts w:cstheme="minorHAnsi"/>
                <w:sz w:val="24"/>
                <w:szCs w:val="24"/>
              </w:rPr>
            </w:pPr>
            <w:r>
              <w:rPr>
                <w:rFonts w:cstheme="minorHAnsi"/>
                <w:sz w:val="24"/>
                <w:szCs w:val="24"/>
              </w:rPr>
              <w:t>30</w:t>
            </w:r>
          </w:p>
        </w:tc>
      </w:tr>
    </w:tbl>
    <w:p w14:paraId="31A92AEC" w14:textId="77777777" w:rsidR="00605997" w:rsidRDefault="00605997" w:rsidP="00605997">
      <w:pPr>
        <w:spacing w:after="0" w:line="240" w:lineRule="auto"/>
        <w:ind w:left="567"/>
        <w:rPr>
          <w:b/>
          <w:color w:val="000000" w:themeColor="text1"/>
          <w:sz w:val="32"/>
          <w:szCs w:val="32"/>
        </w:rPr>
      </w:pPr>
    </w:p>
    <w:p w14:paraId="41E07BD2" w14:textId="77777777" w:rsidR="00605997" w:rsidRDefault="00605997" w:rsidP="00605997">
      <w:pPr>
        <w:spacing w:after="0" w:line="240" w:lineRule="auto"/>
        <w:ind w:left="567"/>
        <w:rPr>
          <w:b/>
          <w:color w:val="000000" w:themeColor="text1"/>
          <w:sz w:val="32"/>
          <w:szCs w:val="32"/>
        </w:rPr>
      </w:pPr>
      <w:r>
        <w:rPr>
          <w:b/>
          <w:color w:val="000000" w:themeColor="text1"/>
          <w:sz w:val="32"/>
          <w:szCs w:val="32"/>
        </w:rPr>
        <w:t>Milton Keynes City Council – Catchment areas for 2026 intakes for community and voluntary controlled schools</w:t>
      </w:r>
    </w:p>
    <w:p w14:paraId="5BFB0A31" w14:textId="77777777" w:rsidR="00605997" w:rsidRPr="001E2824" w:rsidRDefault="00605997" w:rsidP="00605997">
      <w:pPr>
        <w:spacing w:after="0" w:line="240" w:lineRule="auto"/>
        <w:ind w:left="567"/>
        <w:rPr>
          <w:b/>
          <w:color w:val="000000" w:themeColor="text1"/>
          <w:sz w:val="24"/>
          <w:szCs w:val="24"/>
        </w:rPr>
      </w:pPr>
    </w:p>
    <w:p w14:paraId="48C2F103" w14:textId="77777777" w:rsidR="00605997" w:rsidRDefault="00605997" w:rsidP="00605997">
      <w:pPr>
        <w:spacing w:after="0" w:line="240" w:lineRule="auto"/>
        <w:ind w:left="567"/>
        <w:rPr>
          <w:color w:val="000000" w:themeColor="text1"/>
          <w:sz w:val="24"/>
          <w:szCs w:val="24"/>
        </w:rPr>
      </w:pPr>
      <w:r>
        <w:rPr>
          <w:color w:val="000000" w:themeColor="text1"/>
          <w:sz w:val="24"/>
          <w:szCs w:val="24"/>
        </w:rPr>
        <w:t>The catchment area for each school is shown below.  There are no proposed changes to catchment areas for 2026.</w:t>
      </w:r>
    </w:p>
    <w:p w14:paraId="79A4D98D" w14:textId="77777777" w:rsidR="00605997" w:rsidRDefault="00605997" w:rsidP="00605997">
      <w:pPr>
        <w:spacing w:after="0" w:line="240" w:lineRule="auto"/>
        <w:ind w:left="567"/>
        <w:rPr>
          <w:color w:val="000000" w:themeColor="text1"/>
          <w:sz w:val="24"/>
          <w:szCs w:val="24"/>
        </w:rPr>
      </w:pPr>
    </w:p>
    <w:p w14:paraId="443AF1C8" w14:textId="77777777" w:rsidR="00605997" w:rsidRDefault="00605997" w:rsidP="00605997">
      <w:pPr>
        <w:spacing w:after="0" w:line="240" w:lineRule="auto"/>
        <w:ind w:left="567"/>
        <w:rPr>
          <w:color w:val="000000" w:themeColor="text1"/>
          <w:sz w:val="24"/>
          <w:szCs w:val="24"/>
        </w:rPr>
      </w:pPr>
    </w:p>
    <w:tbl>
      <w:tblPr>
        <w:tblStyle w:val="TableGrid"/>
        <w:tblW w:w="0" w:type="auto"/>
        <w:tblInd w:w="567" w:type="dxa"/>
        <w:tblLook w:val="04A0" w:firstRow="1" w:lastRow="0" w:firstColumn="1" w:lastColumn="0" w:noHBand="0" w:noVBand="1"/>
      </w:tblPr>
      <w:tblGrid>
        <w:gridCol w:w="2972"/>
        <w:gridCol w:w="6917"/>
      </w:tblGrid>
      <w:tr w:rsidR="00605997" w14:paraId="157B310D" w14:textId="77777777" w:rsidTr="00EE4CDE">
        <w:tc>
          <w:tcPr>
            <w:tcW w:w="2972" w:type="dxa"/>
          </w:tcPr>
          <w:p w14:paraId="245A4D5D" w14:textId="77777777" w:rsidR="00605997" w:rsidRPr="00634FC5" w:rsidRDefault="00605997" w:rsidP="00EE4CDE">
            <w:pPr>
              <w:spacing w:line="276" w:lineRule="auto"/>
              <w:rPr>
                <w:b/>
                <w:bCs/>
                <w:color w:val="000000" w:themeColor="text1"/>
                <w:sz w:val="24"/>
                <w:szCs w:val="24"/>
              </w:rPr>
            </w:pPr>
            <w:r w:rsidRPr="00634FC5">
              <w:rPr>
                <w:b/>
                <w:bCs/>
                <w:color w:val="000000" w:themeColor="text1"/>
                <w:sz w:val="24"/>
                <w:szCs w:val="24"/>
              </w:rPr>
              <w:t>School</w:t>
            </w:r>
          </w:p>
        </w:tc>
        <w:tc>
          <w:tcPr>
            <w:tcW w:w="6917" w:type="dxa"/>
          </w:tcPr>
          <w:p w14:paraId="3756BC1B" w14:textId="77777777" w:rsidR="00605997" w:rsidRPr="00634FC5" w:rsidRDefault="00605997" w:rsidP="00EE4CDE">
            <w:pPr>
              <w:spacing w:line="276" w:lineRule="auto"/>
              <w:rPr>
                <w:b/>
                <w:bCs/>
                <w:color w:val="000000" w:themeColor="text1"/>
                <w:sz w:val="24"/>
                <w:szCs w:val="24"/>
              </w:rPr>
            </w:pPr>
            <w:r w:rsidRPr="00634FC5">
              <w:rPr>
                <w:b/>
                <w:bCs/>
                <w:color w:val="000000" w:themeColor="text1"/>
                <w:sz w:val="24"/>
                <w:szCs w:val="24"/>
              </w:rPr>
              <w:t>Catchment area</w:t>
            </w:r>
          </w:p>
        </w:tc>
      </w:tr>
      <w:tr w:rsidR="00605997" w14:paraId="19CE6239" w14:textId="77777777" w:rsidTr="00EE4CDE">
        <w:tc>
          <w:tcPr>
            <w:tcW w:w="2972" w:type="dxa"/>
          </w:tcPr>
          <w:p w14:paraId="32158003" w14:textId="77777777" w:rsidR="00605997" w:rsidRPr="00634FC5" w:rsidRDefault="00605997" w:rsidP="00EE4CDE">
            <w:pPr>
              <w:spacing w:line="276" w:lineRule="auto"/>
              <w:rPr>
                <w:color w:val="000000" w:themeColor="text1"/>
                <w:sz w:val="24"/>
                <w:szCs w:val="24"/>
              </w:rPr>
            </w:pPr>
            <w:r w:rsidRPr="00634FC5">
              <w:rPr>
                <w:rFonts w:ascii="Calibri" w:hAnsi="Calibri" w:cs="Arial"/>
                <w:sz w:val="24"/>
                <w:szCs w:val="24"/>
              </w:rPr>
              <w:t>Abbeys Primary</w:t>
            </w:r>
          </w:p>
        </w:tc>
        <w:tc>
          <w:tcPr>
            <w:tcW w:w="6917" w:type="dxa"/>
          </w:tcPr>
          <w:p w14:paraId="7DDCC715" w14:textId="77777777" w:rsidR="00605997" w:rsidRPr="00634FC5" w:rsidRDefault="00605997" w:rsidP="00EE4CDE">
            <w:pPr>
              <w:spacing w:line="276" w:lineRule="auto"/>
              <w:rPr>
                <w:color w:val="000000" w:themeColor="text1"/>
                <w:sz w:val="24"/>
                <w:szCs w:val="24"/>
              </w:rPr>
            </w:pPr>
            <w:r w:rsidRPr="00634FC5">
              <w:rPr>
                <w:rFonts w:ascii="Calibri" w:hAnsi="Calibri" w:cs="Arial"/>
                <w:sz w:val="24"/>
                <w:szCs w:val="24"/>
              </w:rPr>
              <w:t>Granby and that area of Bletchley bounded by the railway line in the east, A5 to the north, Whaddon Way (even numbers only 300+ upwards), south by a line from Whaddon Way across to the railway line and including Westminster Drive, part of Whalley Drive and Sherwood Drive</w:t>
            </w:r>
          </w:p>
        </w:tc>
      </w:tr>
      <w:tr w:rsidR="00605997" w14:paraId="17C9C039" w14:textId="77777777" w:rsidTr="00EE4CDE">
        <w:tc>
          <w:tcPr>
            <w:tcW w:w="2972" w:type="dxa"/>
          </w:tcPr>
          <w:p w14:paraId="1D9AE646" w14:textId="77777777" w:rsidR="00605997" w:rsidRPr="00634FC5" w:rsidRDefault="00605997" w:rsidP="00EE4CDE">
            <w:pPr>
              <w:spacing w:line="276" w:lineRule="auto"/>
              <w:rPr>
                <w:color w:val="000000" w:themeColor="text1"/>
                <w:sz w:val="24"/>
                <w:szCs w:val="24"/>
              </w:rPr>
            </w:pPr>
            <w:r w:rsidRPr="00634FC5">
              <w:rPr>
                <w:rFonts w:ascii="Calibri" w:hAnsi="Calibri" w:cs="Arial"/>
                <w:sz w:val="24"/>
                <w:szCs w:val="24"/>
              </w:rPr>
              <w:t>Barleyhurst Park Primary</w:t>
            </w:r>
          </w:p>
        </w:tc>
        <w:tc>
          <w:tcPr>
            <w:tcW w:w="6917" w:type="dxa"/>
          </w:tcPr>
          <w:p w14:paraId="5A80BC6E" w14:textId="77777777" w:rsidR="00605997" w:rsidRPr="00634FC5" w:rsidRDefault="00605997" w:rsidP="00EE4CDE">
            <w:pPr>
              <w:spacing w:line="276" w:lineRule="auto"/>
              <w:rPr>
                <w:color w:val="000000" w:themeColor="text1"/>
                <w:sz w:val="24"/>
                <w:szCs w:val="24"/>
              </w:rPr>
            </w:pPr>
            <w:r w:rsidRPr="00634FC5">
              <w:rPr>
                <w:rFonts w:ascii="Calibri" w:hAnsi="Calibri" w:cs="Arial"/>
                <w:sz w:val="24"/>
                <w:szCs w:val="24"/>
              </w:rPr>
              <w:t>Area of Bletchley bounded by Sutherland Grove (</w:t>
            </w:r>
            <w:proofErr w:type="gramStart"/>
            <w:r w:rsidRPr="00634FC5">
              <w:rPr>
                <w:rFonts w:ascii="Calibri" w:hAnsi="Calibri" w:cs="Arial"/>
                <w:sz w:val="24"/>
                <w:szCs w:val="24"/>
              </w:rPr>
              <w:t>south eastern</w:t>
            </w:r>
            <w:proofErr w:type="gramEnd"/>
            <w:r w:rsidRPr="00634FC5">
              <w:rPr>
                <w:rFonts w:ascii="Calibri" w:hAnsi="Calibri" w:cs="Arial"/>
                <w:sz w:val="24"/>
                <w:szCs w:val="24"/>
              </w:rPr>
              <w:t xml:space="preserve"> side to Kincardine Drive), Standing Way, Shenley Road (even numbers 88 upwards) and Whaddon Way (odd numbers 25 to 449)</w:t>
            </w:r>
          </w:p>
        </w:tc>
      </w:tr>
      <w:tr w:rsidR="00605997" w14:paraId="07407207" w14:textId="77777777" w:rsidTr="00EE4CDE">
        <w:tc>
          <w:tcPr>
            <w:tcW w:w="2972" w:type="dxa"/>
          </w:tcPr>
          <w:p w14:paraId="31E012A4" w14:textId="77777777" w:rsidR="00605997" w:rsidRPr="00634FC5" w:rsidRDefault="00605997" w:rsidP="00EE4CDE">
            <w:pPr>
              <w:spacing w:line="276" w:lineRule="auto"/>
              <w:rPr>
                <w:color w:val="000000" w:themeColor="text1"/>
                <w:sz w:val="24"/>
                <w:szCs w:val="24"/>
              </w:rPr>
            </w:pPr>
            <w:r w:rsidRPr="00634FC5">
              <w:rPr>
                <w:rFonts w:ascii="Calibri" w:hAnsi="Calibri" w:cs="Arial"/>
                <w:sz w:val="24"/>
                <w:szCs w:val="24"/>
              </w:rPr>
              <w:t>Bradwell Village</w:t>
            </w:r>
          </w:p>
        </w:tc>
        <w:tc>
          <w:tcPr>
            <w:tcW w:w="6917" w:type="dxa"/>
          </w:tcPr>
          <w:p w14:paraId="7C37DF70" w14:textId="77777777" w:rsidR="00605997" w:rsidRPr="00634FC5" w:rsidRDefault="00605997" w:rsidP="00EE4CDE">
            <w:pPr>
              <w:spacing w:line="276" w:lineRule="auto"/>
              <w:jc w:val="both"/>
              <w:rPr>
                <w:rFonts w:ascii="Calibri" w:hAnsi="Calibri" w:cs="Arial"/>
                <w:sz w:val="24"/>
                <w:szCs w:val="24"/>
              </w:rPr>
            </w:pPr>
            <w:r w:rsidRPr="00634FC5">
              <w:rPr>
                <w:rFonts w:ascii="Calibri" w:hAnsi="Calibri" w:cs="Arial"/>
                <w:sz w:val="24"/>
                <w:szCs w:val="24"/>
              </w:rPr>
              <w:t>Bradwell Village, Heelands and the following roads on Bancroft:</w:t>
            </w:r>
          </w:p>
          <w:p w14:paraId="0683BEEE" w14:textId="77777777" w:rsidR="00605997" w:rsidRPr="00634FC5" w:rsidRDefault="00605997" w:rsidP="00EE4CDE">
            <w:pPr>
              <w:spacing w:line="276" w:lineRule="auto"/>
              <w:rPr>
                <w:color w:val="000000" w:themeColor="text1"/>
                <w:sz w:val="24"/>
                <w:szCs w:val="24"/>
              </w:rPr>
            </w:pPr>
            <w:proofErr w:type="spellStart"/>
            <w:r w:rsidRPr="00634FC5">
              <w:rPr>
                <w:rFonts w:ascii="Calibri" w:hAnsi="Calibri" w:cs="Arial"/>
                <w:sz w:val="24"/>
                <w:szCs w:val="24"/>
              </w:rPr>
              <w:t>Benwell</w:t>
            </w:r>
            <w:proofErr w:type="spellEnd"/>
            <w:r w:rsidRPr="00634FC5">
              <w:rPr>
                <w:rFonts w:ascii="Calibri" w:hAnsi="Calibri" w:cs="Arial"/>
                <w:sz w:val="24"/>
                <w:szCs w:val="24"/>
              </w:rPr>
              <w:t xml:space="preserve"> Close, </w:t>
            </w:r>
            <w:proofErr w:type="spellStart"/>
            <w:r w:rsidRPr="00634FC5">
              <w:rPr>
                <w:rFonts w:ascii="Calibri" w:hAnsi="Calibri" w:cs="Arial"/>
                <w:sz w:val="24"/>
                <w:szCs w:val="24"/>
              </w:rPr>
              <w:t>Castlesteads</w:t>
            </w:r>
            <w:proofErr w:type="spellEnd"/>
            <w:r w:rsidRPr="00634FC5">
              <w:rPr>
                <w:rFonts w:ascii="Calibri" w:hAnsi="Calibri" w:cs="Arial"/>
                <w:sz w:val="24"/>
                <w:szCs w:val="24"/>
              </w:rPr>
              <w:t xml:space="preserve">, Caesars Close, </w:t>
            </w:r>
            <w:proofErr w:type="spellStart"/>
            <w:r w:rsidRPr="00634FC5">
              <w:rPr>
                <w:rFonts w:ascii="Calibri" w:hAnsi="Calibri" w:cs="Arial"/>
                <w:sz w:val="24"/>
                <w:szCs w:val="24"/>
              </w:rPr>
              <w:t>Chesterholm</w:t>
            </w:r>
            <w:proofErr w:type="spellEnd"/>
            <w:r w:rsidRPr="00634FC5">
              <w:rPr>
                <w:rFonts w:ascii="Calibri" w:hAnsi="Calibri" w:cs="Arial"/>
                <w:sz w:val="24"/>
                <w:szCs w:val="24"/>
              </w:rPr>
              <w:t xml:space="preserve">, </w:t>
            </w:r>
            <w:proofErr w:type="spellStart"/>
            <w:r w:rsidRPr="00634FC5">
              <w:rPr>
                <w:rFonts w:ascii="Calibri" w:hAnsi="Calibri" w:cs="Arial"/>
                <w:sz w:val="24"/>
                <w:szCs w:val="24"/>
              </w:rPr>
              <w:t>Hadrians</w:t>
            </w:r>
            <w:proofErr w:type="spellEnd"/>
            <w:r w:rsidRPr="00634FC5">
              <w:rPr>
                <w:rFonts w:ascii="Calibri" w:hAnsi="Calibri" w:cs="Arial"/>
                <w:sz w:val="24"/>
                <w:szCs w:val="24"/>
              </w:rPr>
              <w:t xml:space="preserve"> Drive (odd numbers 1-27 and even numbers 2-30), Kenchester, Milecastle, Octavian Way and </w:t>
            </w:r>
            <w:proofErr w:type="spellStart"/>
            <w:r w:rsidRPr="00634FC5">
              <w:rPr>
                <w:rFonts w:ascii="Calibri" w:hAnsi="Calibri" w:cs="Arial"/>
                <w:sz w:val="24"/>
                <w:szCs w:val="24"/>
              </w:rPr>
              <w:t>Rudchesters</w:t>
            </w:r>
            <w:proofErr w:type="spellEnd"/>
          </w:p>
        </w:tc>
      </w:tr>
      <w:tr w:rsidR="00605997" w14:paraId="38F1EAF3" w14:textId="77777777" w:rsidTr="00EE4CDE">
        <w:tc>
          <w:tcPr>
            <w:tcW w:w="2972" w:type="dxa"/>
          </w:tcPr>
          <w:p w14:paraId="755F92E9" w14:textId="0AFA9A9E" w:rsidR="00605997" w:rsidRPr="00634FC5" w:rsidRDefault="00605997" w:rsidP="00605997">
            <w:pPr>
              <w:spacing w:line="276" w:lineRule="auto"/>
              <w:rPr>
                <w:rFonts w:ascii="Calibri" w:hAnsi="Calibri" w:cs="Arial"/>
                <w:sz w:val="24"/>
                <w:szCs w:val="24"/>
              </w:rPr>
            </w:pPr>
            <w:r w:rsidRPr="004C5721">
              <w:rPr>
                <w:rFonts w:ascii="Calibri" w:hAnsi="Calibri" w:cs="Arial"/>
                <w:color w:val="000000"/>
                <w:sz w:val="24"/>
                <w:szCs w:val="24"/>
              </w:rPr>
              <w:t xml:space="preserve">Brooklands Farm Primary </w:t>
            </w:r>
          </w:p>
        </w:tc>
        <w:tc>
          <w:tcPr>
            <w:tcW w:w="6917" w:type="dxa"/>
          </w:tcPr>
          <w:p w14:paraId="4B0A46F6" w14:textId="77777777" w:rsidR="00605997" w:rsidRPr="004C5721" w:rsidRDefault="00605997" w:rsidP="00605997">
            <w:pPr>
              <w:spacing w:line="276" w:lineRule="auto"/>
              <w:rPr>
                <w:rFonts w:ascii="Calibri" w:hAnsi="Calibri" w:cs="Arial"/>
                <w:sz w:val="24"/>
                <w:szCs w:val="24"/>
              </w:rPr>
            </w:pPr>
            <w:r w:rsidRPr="004C5721">
              <w:rPr>
                <w:rFonts w:ascii="Calibri" w:hAnsi="Calibri" w:cs="Arial"/>
                <w:sz w:val="24"/>
                <w:szCs w:val="24"/>
              </w:rPr>
              <w:t xml:space="preserve">Brooklands and the area of Broughton north of Broughton Brook between Milton Road (even house numbers) and Countess Way.  </w:t>
            </w:r>
          </w:p>
          <w:p w14:paraId="6451219C" w14:textId="77777777" w:rsidR="00605997" w:rsidRPr="004C5721" w:rsidRDefault="00605997" w:rsidP="00605997">
            <w:pPr>
              <w:spacing w:line="276" w:lineRule="auto"/>
              <w:rPr>
                <w:rFonts w:ascii="Calibri" w:hAnsi="Calibri" w:cs="Arial"/>
                <w:sz w:val="24"/>
                <w:szCs w:val="24"/>
              </w:rPr>
            </w:pPr>
            <w:r w:rsidRPr="004C5721">
              <w:rPr>
                <w:rFonts w:ascii="Calibri" w:hAnsi="Calibri" w:cs="Arial"/>
                <w:sz w:val="24"/>
                <w:szCs w:val="24"/>
              </w:rPr>
              <w:t>The school has two campuses.</w:t>
            </w:r>
          </w:p>
          <w:p w14:paraId="17833A23" w14:textId="77777777" w:rsidR="00605997" w:rsidRPr="004C5721" w:rsidRDefault="00605997" w:rsidP="00605997">
            <w:pPr>
              <w:spacing w:line="276" w:lineRule="auto"/>
              <w:rPr>
                <w:rFonts w:ascii="Calibri" w:hAnsi="Calibri" w:cs="Arial"/>
                <w:sz w:val="24"/>
                <w:szCs w:val="24"/>
              </w:rPr>
            </w:pPr>
            <w:r w:rsidRPr="004C5721">
              <w:rPr>
                <w:rFonts w:ascii="Calibri" w:hAnsi="Calibri" w:cs="Arial"/>
                <w:sz w:val="24"/>
                <w:szCs w:val="24"/>
              </w:rPr>
              <w:t xml:space="preserve">Priority for Fen Street campus </w:t>
            </w:r>
            <w:proofErr w:type="gramStart"/>
            <w:r w:rsidRPr="004C5721">
              <w:rPr>
                <w:rFonts w:ascii="Calibri" w:hAnsi="Calibri" w:cs="Arial"/>
                <w:sz w:val="24"/>
                <w:szCs w:val="24"/>
              </w:rPr>
              <w:t>is:</w:t>
            </w:r>
            <w:proofErr w:type="gramEnd"/>
            <w:r w:rsidRPr="004C5721">
              <w:rPr>
                <w:rFonts w:ascii="Calibri" w:hAnsi="Calibri" w:cs="Arial"/>
                <w:sz w:val="24"/>
                <w:szCs w:val="24"/>
              </w:rPr>
              <w:t xml:space="preserve"> Broughton Gate bounded by </w:t>
            </w:r>
            <w:proofErr w:type="spellStart"/>
            <w:r w:rsidRPr="004C5721">
              <w:rPr>
                <w:rFonts w:ascii="Calibri" w:hAnsi="Calibri" w:cs="Arial"/>
                <w:sz w:val="24"/>
                <w:szCs w:val="24"/>
              </w:rPr>
              <w:t>Dalegarth</w:t>
            </w:r>
            <w:proofErr w:type="spellEnd"/>
            <w:r w:rsidRPr="004C5721">
              <w:rPr>
                <w:rFonts w:ascii="Calibri" w:hAnsi="Calibri" w:cs="Arial"/>
                <w:sz w:val="24"/>
                <w:szCs w:val="24"/>
              </w:rPr>
              <w:t xml:space="preserve"> Way and Haven Street and Brooklands to the north of Port Line Road.</w:t>
            </w:r>
          </w:p>
          <w:p w14:paraId="6E93D8D2" w14:textId="205A09BD" w:rsidR="00605997" w:rsidRPr="00634FC5" w:rsidRDefault="00605997" w:rsidP="00605997">
            <w:pPr>
              <w:spacing w:line="276" w:lineRule="auto"/>
              <w:jc w:val="both"/>
              <w:rPr>
                <w:rFonts w:ascii="Calibri" w:hAnsi="Calibri" w:cs="Arial"/>
                <w:sz w:val="24"/>
                <w:szCs w:val="24"/>
              </w:rPr>
            </w:pPr>
            <w:r w:rsidRPr="004C5721">
              <w:rPr>
                <w:rFonts w:ascii="Calibri" w:hAnsi="Calibri" w:cs="Arial"/>
                <w:sz w:val="24"/>
                <w:szCs w:val="24"/>
              </w:rPr>
              <w:t xml:space="preserve">Priority for Countess Way campus </w:t>
            </w:r>
            <w:proofErr w:type="gramStart"/>
            <w:r w:rsidRPr="004C5721">
              <w:rPr>
                <w:rFonts w:ascii="Calibri" w:hAnsi="Calibri" w:cs="Arial"/>
                <w:sz w:val="24"/>
                <w:szCs w:val="24"/>
              </w:rPr>
              <w:t>is:</w:t>
            </w:r>
            <w:proofErr w:type="gramEnd"/>
            <w:r w:rsidRPr="004C5721">
              <w:rPr>
                <w:rFonts w:ascii="Calibri" w:hAnsi="Calibri" w:cs="Arial"/>
                <w:sz w:val="24"/>
                <w:szCs w:val="24"/>
              </w:rPr>
              <w:t xml:space="preserve"> Broughton Gate bounded by but not including </w:t>
            </w:r>
            <w:proofErr w:type="spellStart"/>
            <w:r w:rsidRPr="004C5721">
              <w:rPr>
                <w:rFonts w:ascii="Calibri" w:hAnsi="Calibri" w:cs="Arial"/>
                <w:sz w:val="24"/>
                <w:szCs w:val="24"/>
              </w:rPr>
              <w:t>Dalegarth</w:t>
            </w:r>
            <w:proofErr w:type="spellEnd"/>
            <w:r w:rsidRPr="004C5721">
              <w:rPr>
                <w:rFonts w:ascii="Calibri" w:hAnsi="Calibri" w:cs="Arial"/>
                <w:sz w:val="24"/>
                <w:szCs w:val="24"/>
              </w:rPr>
              <w:t xml:space="preserve"> Way and Haven Street and Brooklands to the south of but not including Port Line Road.</w:t>
            </w:r>
          </w:p>
        </w:tc>
      </w:tr>
      <w:tr w:rsidR="00605997" w14:paraId="4EA9A1F2" w14:textId="77777777" w:rsidTr="00EE4CDE">
        <w:tc>
          <w:tcPr>
            <w:tcW w:w="2972" w:type="dxa"/>
          </w:tcPr>
          <w:p w14:paraId="10DA98F3" w14:textId="393453E7" w:rsidR="00605997" w:rsidRPr="00634FC5" w:rsidRDefault="00605997" w:rsidP="00605997">
            <w:pPr>
              <w:spacing w:line="276" w:lineRule="auto"/>
              <w:rPr>
                <w:rFonts w:ascii="Calibri" w:hAnsi="Calibri" w:cs="Arial"/>
                <w:sz w:val="24"/>
                <w:szCs w:val="24"/>
              </w:rPr>
            </w:pPr>
            <w:r w:rsidRPr="004C5721">
              <w:rPr>
                <w:rFonts w:ascii="Calibri" w:hAnsi="Calibri" w:cs="Arial"/>
                <w:color w:val="000000"/>
                <w:sz w:val="24"/>
                <w:szCs w:val="24"/>
              </w:rPr>
              <w:t>Broughton Fields Primary</w:t>
            </w:r>
          </w:p>
        </w:tc>
        <w:tc>
          <w:tcPr>
            <w:tcW w:w="6917" w:type="dxa"/>
          </w:tcPr>
          <w:p w14:paraId="2D2A6677" w14:textId="2783A042" w:rsidR="00605997" w:rsidRPr="00634FC5" w:rsidRDefault="00605997" w:rsidP="00605997">
            <w:pPr>
              <w:spacing w:line="276" w:lineRule="auto"/>
              <w:jc w:val="both"/>
              <w:rPr>
                <w:rFonts w:ascii="Calibri" w:hAnsi="Calibri" w:cs="Arial"/>
                <w:sz w:val="24"/>
                <w:szCs w:val="24"/>
              </w:rPr>
            </w:pPr>
            <w:r w:rsidRPr="004C5721">
              <w:rPr>
                <w:rFonts w:ascii="Calibri" w:hAnsi="Calibri" w:cs="Arial"/>
                <w:sz w:val="24"/>
                <w:szCs w:val="24"/>
              </w:rPr>
              <w:t>Broughton west of Milton Road and south of Broughton Brook (Milton Road - even house numbers to the south of Broughton Brook and all odd numbers), Atterbury and Broughton Village.</w:t>
            </w:r>
            <w:r w:rsidRPr="004C5721">
              <w:rPr>
                <w:rFonts w:ascii="Calibri" w:hAnsi="Calibri"/>
                <w:color w:val="1F497D"/>
                <w:sz w:val="24"/>
                <w:szCs w:val="24"/>
              </w:rPr>
              <w:t> </w:t>
            </w:r>
          </w:p>
        </w:tc>
      </w:tr>
    </w:tbl>
    <w:p w14:paraId="61018B3E" w14:textId="535D9568" w:rsidR="00605997" w:rsidRDefault="00605997"/>
    <w:p w14:paraId="48399F02" w14:textId="77777777" w:rsidR="00605997" w:rsidRDefault="00605997">
      <w:r>
        <w:br w:type="page"/>
      </w:r>
    </w:p>
    <w:tbl>
      <w:tblPr>
        <w:tblStyle w:val="TableGrid"/>
        <w:tblW w:w="0" w:type="auto"/>
        <w:tblInd w:w="567" w:type="dxa"/>
        <w:tblLook w:val="04A0" w:firstRow="1" w:lastRow="0" w:firstColumn="1" w:lastColumn="0" w:noHBand="0" w:noVBand="1"/>
      </w:tblPr>
      <w:tblGrid>
        <w:gridCol w:w="2972"/>
        <w:gridCol w:w="6917"/>
      </w:tblGrid>
      <w:tr w:rsidR="00605997" w14:paraId="1EE97AE2" w14:textId="77777777" w:rsidTr="00EE4CDE">
        <w:tc>
          <w:tcPr>
            <w:tcW w:w="2972" w:type="dxa"/>
          </w:tcPr>
          <w:p w14:paraId="62CA9820" w14:textId="77777777" w:rsidR="00605997" w:rsidRDefault="00605997" w:rsidP="00EE4CDE">
            <w:pPr>
              <w:spacing w:line="276" w:lineRule="auto"/>
              <w:rPr>
                <w:color w:val="000000" w:themeColor="text1"/>
                <w:sz w:val="24"/>
                <w:szCs w:val="24"/>
              </w:rPr>
            </w:pPr>
            <w:r w:rsidRPr="00634FC5">
              <w:rPr>
                <w:b/>
                <w:bCs/>
                <w:color w:val="000000" w:themeColor="text1"/>
                <w:sz w:val="24"/>
                <w:szCs w:val="24"/>
              </w:rPr>
              <w:lastRenderedPageBreak/>
              <w:t>School</w:t>
            </w:r>
          </w:p>
        </w:tc>
        <w:tc>
          <w:tcPr>
            <w:tcW w:w="6917" w:type="dxa"/>
          </w:tcPr>
          <w:p w14:paraId="113AFC30" w14:textId="77777777" w:rsidR="00605997" w:rsidRDefault="00605997" w:rsidP="00EE4CDE">
            <w:pPr>
              <w:spacing w:line="276" w:lineRule="auto"/>
              <w:rPr>
                <w:color w:val="000000" w:themeColor="text1"/>
                <w:sz w:val="24"/>
                <w:szCs w:val="24"/>
              </w:rPr>
            </w:pPr>
            <w:r w:rsidRPr="00634FC5">
              <w:rPr>
                <w:b/>
                <w:bCs/>
                <w:color w:val="000000" w:themeColor="text1"/>
                <w:sz w:val="24"/>
                <w:szCs w:val="24"/>
              </w:rPr>
              <w:t>Catchment area</w:t>
            </w:r>
          </w:p>
        </w:tc>
      </w:tr>
      <w:tr w:rsidR="00605997" w:rsidRPr="004C5721" w14:paraId="61174D18" w14:textId="77777777" w:rsidTr="00EE4CDE">
        <w:tc>
          <w:tcPr>
            <w:tcW w:w="2972" w:type="dxa"/>
          </w:tcPr>
          <w:p w14:paraId="5393BA5E" w14:textId="77777777" w:rsidR="00605997" w:rsidRPr="004C5721" w:rsidRDefault="00605997" w:rsidP="00EE4CDE">
            <w:pPr>
              <w:spacing w:line="276" w:lineRule="auto"/>
              <w:rPr>
                <w:color w:val="000000" w:themeColor="text1"/>
                <w:sz w:val="24"/>
                <w:szCs w:val="24"/>
              </w:rPr>
            </w:pPr>
            <w:r w:rsidRPr="004C5721">
              <w:rPr>
                <w:rFonts w:ascii="Calibri" w:hAnsi="Calibri" w:cs="Arial"/>
                <w:sz w:val="24"/>
                <w:szCs w:val="24"/>
              </w:rPr>
              <w:t>Caroline Haslett Primary</w:t>
            </w:r>
          </w:p>
        </w:tc>
        <w:tc>
          <w:tcPr>
            <w:tcW w:w="6917" w:type="dxa"/>
          </w:tcPr>
          <w:p w14:paraId="65617E2A" w14:textId="77777777" w:rsidR="00605997" w:rsidRPr="004C5721" w:rsidRDefault="00605997" w:rsidP="00EE4CDE">
            <w:pPr>
              <w:spacing w:line="276" w:lineRule="auto"/>
              <w:rPr>
                <w:rFonts w:ascii="Calibri" w:hAnsi="Calibri" w:cs="Arial"/>
                <w:sz w:val="24"/>
                <w:szCs w:val="24"/>
              </w:rPr>
            </w:pPr>
            <w:r w:rsidRPr="004C5721">
              <w:rPr>
                <w:rFonts w:ascii="Calibri" w:hAnsi="Calibri" w:cs="Arial"/>
                <w:sz w:val="24"/>
                <w:szCs w:val="24"/>
              </w:rPr>
              <w:t>Shenley Lodge and the following roads on Shenley Brook End:</w:t>
            </w:r>
          </w:p>
          <w:p w14:paraId="6831FF2D" w14:textId="77777777" w:rsidR="00605997" w:rsidRPr="004C5721" w:rsidRDefault="00605997" w:rsidP="00EE4CDE">
            <w:pPr>
              <w:spacing w:line="276" w:lineRule="auto"/>
              <w:rPr>
                <w:color w:val="000000" w:themeColor="text1"/>
                <w:sz w:val="24"/>
                <w:szCs w:val="24"/>
              </w:rPr>
            </w:pPr>
            <w:r w:rsidRPr="004C5721">
              <w:rPr>
                <w:rFonts w:ascii="Calibri" w:hAnsi="Calibri" w:cs="Arial"/>
                <w:sz w:val="24"/>
                <w:szCs w:val="24"/>
              </w:rPr>
              <w:t xml:space="preserve">Braford Gardens, Bremen Grove, </w:t>
            </w:r>
            <w:proofErr w:type="spellStart"/>
            <w:r w:rsidRPr="004C5721">
              <w:rPr>
                <w:rFonts w:ascii="Calibri" w:hAnsi="Calibri" w:cs="Arial"/>
                <w:sz w:val="24"/>
                <w:szCs w:val="24"/>
              </w:rPr>
              <w:t>Burdeleys</w:t>
            </w:r>
            <w:proofErr w:type="spellEnd"/>
            <w:r w:rsidRPr="004C5721">
              <w:rPr>
                <w:rFonts w:ascii="Calibri" w:hAnsi="Calibri" w:cs="Arial"/>
                <w:sz w:val="24"/>
                <w:szCs w:val="24"/>
              </w:rPr>
              <w:t xml:space="preserve"> Lane, </w:t>
            </w:r>
            <w:proofErr w:type="spellStart"/>
            <w:r w:rsidRPr="004C5721">
              <w:rPr>
                <w:rFonts w:ascii="Calibri" w:hAnsi="Calibri" w:cs="Arial"/>
                <w:sz w:val="24"/>
                <w:szCs w:val="24"/>
              </w:rPr>
              <w:t>Chalwell</w:t>
            </w:r>
            <w:proofErr w:type="spellEnd"/>
            <w:r w:rsidRPr="004C5721">
              <w:rPr>
                <w:rFonts w:ascii="Calibri" w:hAnsi="Calibri" w:cs="Arial"/>
                <w:sz w:val="24"/>
                <w:szCs w:val="24"/>
              </w:rPr>
              <w:t xml:space="preserve"> Ridge, Charbray Crescent, </w:t>
            </w:r>
            <w:proofErr w:type="spellStart"/>
            <w:r w:rsidRPr="004C5721">
              <w:rPr>
                <w:rFonts w:ascii="Calibri" w:hAnsi="Calibri" w:cs="Arial"/>
                <w:sz w:val="24"/>
                <w:szCs w:val="24"/>
              </w:rPr>
              <w:t>Chartley</w:t>
            </w:r>
            <w:proofErr w:type="spellEnd"/>
            <w:r w:rsidRPr="004C5721">
              <w:rPr>
                <w:rFonts w:ascii="Calibri" w:hAnsi="Calibri" w:cs="Arial"/>
                <w:sz w:val="24"/>
                <w:szCs w:val="24"/>
              </w:rPr>
              <w:t xml:space="preserve"> Court, Chillingham Court, Cressey Avenue, Curtis Croft, Dorking Place, Egerton Gate (properties east of Chillingham Court), </w:t>
            </w:r>
            <w:proofErr w:type="spellStart"/>
            <w:r w:rsidRPr="004C5721">
              <w:rPr>
                <w:rFonts w:ascii="Calibri" w:hAnsi="Calibri" w:cs="Arial"/>
                <w:sz w:val="24"/>
                <w:szCs w:val="24"/>
              </w:rPr>
              <w:t>Gayal</w:t>
            </w:r>
            <w:proofErr w:type="spellEnd"/>
            <w:r w:rsidRPr="004C5721">
              <w:rPr>
                <w:rFonts w:ascii="Calibri" w:hAnsi="Calibri" w:cs="Arial"/>
                <w:sz w:val="24"/>
                <w:szCs w:val="24"/>
              </w:rPr>
              <w:t xml:space="preserve"> Croft, Orpington Grove, </w:t>
            </w:r>
            <w:proofErr w:type="spellStart"/>
            <w:r w:rsidRPr="004C5721">
              <w:rPr>
                <w:rFonts w:ascii="Calibri" w:hAnsi="Calibri" w:cs="Arial"/>
                <w:sz w:val="24"/>
                <w:szCs w:val="24"/>
              </w:rPr>
              <w:t>Roscombe</w:t>
            </w:r>
            <w:proofErr w:type="spellEnd"/>
            <w:r w:rsidRPr="004C5721">
              <w:rPr>
                <w:rFonts w:ascii="Calibri" w:hAnsi="Calibri" w:cs="Arial"/>
                <w:sz w:val="24"/>
                <w:szCs w:val="24"/>
              </w:rPr>
              <w:t xml:space="preserve"> Place</w:t>
            </w:r>
          </w:p>
        </w:tc>
      </w:tr>
      <w:tr w:rsidR="00605997" w:rsidRPr="004C5721" w14:paraId="7EADC3FF" w14:textId="77777777" w:rsidTr="00EE4CDE">
        <w:tc>
          <w:tcPr>
            <w:tcW w:w="2972" w:type="dxa"/>
          </w:tcPr>
          <w:p w14:paraId="55F57333" w14:textId="77777777" w:rsidR="00605997" w:rsidRPr="004C5721" w:rsidRDefault="00605997" w:rsidP="00EE4CDE">
            <w:pPr>
              <w:spacing w:line="276" w:lineRule="auto"/>
              <w:rPr>
                <w:color w:val="000000" w:themeColor="text1"/>
                <w:sz w:val="24"/>
                <w:szCs w:val="24"/>
              </w:rPr>
            </w:pPr>
            <w:r w:rsidRPr="004C5721">
              <w:rPr>
                <w:rFonts w:ascii="Calibri" w:hAnsi="Calibri" w:cs="Arial"/>
                <w:sz w:val="24"/>
                <w:szCs w:val="24"/>
              </w:rPr>
              <w:t>Castlethorpe First</w:t>
            </w:r>
          </w:p>
        </w:tc>
        <w:tc>
          <w:tcPr>
            <w:tcW w:w="6917" w:type="dxa"/>
          </w:tcPr>
          <w:p w14:paraId="4451516E" w14:textId="77777777" w:rsidR="00605997" w:rsidRPr="004C5721" w:rsidRDefault="00605997" w:rsidP="00EE4CDE">
            <w:pPr>
              <w:spacing w:line="276" w:lineRule="auto"/>
              <w:rPr>
                <w:color w:val="000000" w:themeColor="text1"/>
                <w:sz w:val="24"/>
                <w:szCs w:val="24"/>
              </w:rPr>
            </w:pPr>
            <w:r w:rsidRPr="004C5721">
              <w:rPr>
                <w:rFonts w:ascii="Calibri" w:hAnsi="Calibri" w:cs="Arial"/>
                <w:sz w:val="24"/>
                <w:szCs w:val="24"/>
              </w:rPr>
              <w:t xml:space="preserve">Parish of Castlethorpe including Milford Leys, Lincoln Lodge, </w:t>
            </w:r>
            <w:proofErr w:type="spellStart"/>
            <w:r w:rsidRPr="004C5721">
              <w:rPr>
                <w:rFonts w:ascii="Calibri" w:hAnsi="Calibri" w:cs="Arial"/>
                <w:sz w:val="24"/>
                <w:szCs w:val="24"/>
              </w:rPr>
              <w:t>Bullington</w:t>
            </w:r>
            <w:proofErr w:type="spellEnd"/>
            <w:r w:rsidRPr="004C5721">
              <w:rPr>
                <w:rFonts w:ascii="Calibri" w:hAnsi="Calibri" w:cs="Arial"/>
                <w:sz w:val="24"/>
                <w:szCs w:val="24"/>
              </w:rPr>
              <w:t xml:space="preserve"> End and Leamington Farm</w:t>
            </w:r>
          </w:p>
        </w:tc>
      </w:tr>
      <w:tr w:rsidR="00605997" w:rsidRPr="004C5721" w14:paraId="6F83F4A9" w14:textId="77777777" w:rsidTr="00EE4CDE">
        <w:tc>
          <w:tcPr>
            <w:tcW w:w="2972" w:type="dxa"/>
          </w:tcPr>
          <w:p w14:paraId="6B450213" w14:textId="77777777" w:rsidR="00605997" w:rsidRPr="004C5721" w:rsidRDefault="00605997" w:rsidP="00EE4CDE">
            <w:pPr>
              <w:spacing w:line="276" w:lineRule="auto"/>
              <w:rPr>
                <w:color w:val="000000" w:themeColor="text1"/>
                <w:sz w:val="24"/>
                <w:szCs w:val="24"/>
              </w:rPr>
            </w:pPr>
            <w:r w:rsidRPr="004C5721">
              <w:rPr>
                <w:rFonts w:ascii="Calibri" w:hAnsi="Calibri" w:cs="Arial"/>
                <w:sz w:val="24"/>
                <w:szCs w:val="24"/>
              </w:rPr>
              <w:t>Cedars Primary</w:t>
            </w:r>
          </w:p>
        </w:tc>
        <w:tc>
          <w:tcPr>
            <w:tcW w:w="6917" w:type="dxa"/>
          </w:tcPr>
          <w:p w14:paraId="516D773B" w14:textId="77777777" w:rsidR="00605997" w:rsidRPr="004C5721" w:rsidRDefault="00605997" w:rsidP="00EE4CDE">
            <w:pPr>
              <w:spacing w:line="276" w:lineRule="auto"/>
              <w:rPr>
                <w:color w:val="000000" w:themeColor="text1"/>
                <w:sz w:val="24"/>
                <w:szCs w:val="24"/>
              </w:rPr>
            </w:pPr>
            <w:r w:rsidRPr="004C5721">
              <w:rPr>
                <w:rFonts w:ascii="Calibri" w:hAnsi="Calibri" w:cs="Arial"/>
                <w:sz w:val="24"/>
                <w:szCs w:val="24"/>
              </w:rPr>
              <w:t xml:space="preserve">Part of Newport Pagnell bounded on the west by M1 motorway; on north by Wolverton Road (even numbers) to a line drawn through Westbury playing field to include Park Avenue and Lakes Lane; on east by River Lovat and on south by a line drawn along Annesley Road, Broad Street and including Green Farm Road down to Marsh End Road and a line drawn across to the river, also the villages of </w:t>
            </w:r>
            <w:proofErr w:type="spellStart"/>
            <w:r w:rsidRPr="004C5721">
              <w:rPr>
                <w:rFonts w:ascii="Calibri" w:hAnsi="Calibri" w:cs="Arial"/>
                <w:sz w:val="24"/>
                <w:szCs w:val="24"/>
              </w:rPr>
              <w:t>Astwood</w:t>
            </w:r>
            <w:proofErr w:type="spellEnd"/>
            <w:r w:rsidRPr="004C5721">
              <w:rPr>
                <w:rFonts w:ascii="Calibri" w:hAnsi="Calibri" w:cs="Arial"/>
                <w:sz w:val="24"/>
                <w:szCs w:val="24"/>
              </w:rPr>
              <w:t xml:space="preserve">, Chicheley, </w:t>
            </w:r>
            <w:proofErr w:type="spellStart"/>
            <w:r w:rsidRPr="004C5721">
              <w:rPr>
                <w:rFonts w:ascii="Calibri" w:hAnsi="Calibri" w:cs="Arial"/>
                <w:sz w:val="24"/>
                <w:szCs w:val="24"/>
              </w:rPr>
              <w:t>Hardmead</w:t>
            </w:r>
            <w:proofErr w:type="spellEnd"/>
            <w:r w:rsidRPr="004C5721">
              <w:rPr>
                <w:rFonts w:ascii="Calibri" w:hAnsi="Calibri" w:cs="Arial"/>
                <w:sz w:val="24"/>
                <w:szCs w:val="24"/>
              </w:rPr>
              <w:t xml:space="preserve"> and Lathbury</w:t>
            </w:r>
          </w:p>
        </w:tc>
      </w:tr>
      <w:tr w:rsidR="00605997" w:rsidRPr="00DB6586" w14:paraId="0B725F6C" w14:textId="77777777" w:rsidTr="00EE4CDE">
        <w:tc>
          <w:tcPr>
            <w:tcW w:w="2972" w:type="dxa"/>
          </w:tcPr>
          <w:p w14:paraId="344DFC9E" w14:textId="77777777" w:rsidR="00605997" w:rsidRPr="00DB6586" w:rsidRDefault="00605997" w:rsidP="00EE4CDE">
            <w:pPr>
              <w:spacing w:line="276" w:lineRule="auto"/>
              <w:rPr>
                <w:rFonts w:ascii="Calibri" w:hAnsi="Calibri" w:cs="Arial"/>
                <w:sz w:val="24"/>
                <w:szCs w:val="24"/>
              </w:rPr>
            </w:pPr>
            <w:r w:rsidRPr="00DB6586">
              <w:rPr>
                <w:rFonts w:ascii="Calibri" w:hAnsi="Calibri" w:cs="Arial"/>
                <w:sz w:val="24"/>
                <w:szCs w:val="24"/>
              </w:rPr>
              <w:t>Cold Harbour C of E</w:t>
            </w:r>
          </w:p>
        </w:tc>
        <w:tc>
          <w:tcPr>
            <w:tcW w:w="6917" w:type="dxa"/>
          </w:tcPr>
          <w:p w14:paraId="2EE111BE" w14:textId="77777777" w:rsidR="00605997" w:rsidRPr="00DB6586" w:rsidRDefault="00605997" w:rsidP="00EE4CDE">
            <w:pPr>
              <w:spacing w:line="276" w:lineRule="auto"/>
              <w:rPr>
                <w:rFonts w:ascii="Calibri" w:hAnsi="Calibri" w:cs="Arial"/>
                <w:sz w:val="24"/>
                <w:szCs w:val="24"/>
              </w:rPr>
            </w:pPr>
            <w:proofErr w:type="gramStart"/>
            <w:r w:rsidRPr="00DB6586">
              <w:rPr>
                <w:rFonts w:ascii="Calibri" w:hAnsi="Calibri" w:cs="Arial"/>
                <w:sz w:val="24"/>
                <w:szCs w:val="24"/>
              </w:rPr>
              <w:t>South eastern</w:t>
            </w:r>
            <w:proofErr w:type="gramEnd"/>
            <w:r w:rsidRPr="00DB6586">
              <w:rPr>
                <w:rFonts w:ascii="Calibri" w:hAnsi="Calibri" w:cs="Arial"/>
                <w:sz w:val="24"/>
                <w:szCs w:val="24"/>
              </w:rPr>
              <w:t xml:space="preserve"> part of Furzton (up to Loughton Brook) plus the area of Bletchley bounded by Whaddon Way (odd numbers) to Sutherland Grove, along Sutherland Grove (even numbers) and Kincardine Drive (northern side) to Standing Way including Denbigh Hall</w:t>
            </w:r>
            <w:r>
              <w:rPr>
                <w:rFonts w:ascii="Calibri" w:hAnsi="Calibri" w:cs="Arial"/>
                <w:sz w:val="24"/>
                <w:szCs w:val="24"/>
              </w:rPr>
              <w:t xml:space="preserve">.  </w:t>
            </w:r>
            <w:r w:rsidRPr="00DB6586">
              <w:rPr>
                <w:rFonts w:ascii="Calibri" w:hAnsi="Calibri" w:cs="Arial"/>
                <w:sz w:val="24"/>
                <w:szCs w:val="24"/>
              </w:rPr>
              <w:t>For children in</w:t>
            </w:r>
            <w:r>
              <w:rPr>
                <w:rFonts w:ascii="Calibri" w:hAnsi="Calibri" w:cs="Arial"/>
                <w:sz w:val="24"/>
                <w:szCs w:val="24"/>
              </w:rPr>
              <w:t xml:space="preserve"> </w:t>
            </w:r>
            <w:r w:rsidRPr="00DB6586">
              <w:rPr>
                <w:rFonts w:ascii="Calibri" w:hAnsi="Calibri" w:cs="Arial"/>
                <w:sz w:val="24"/>
                <w:szCs w:val="24"/>
              </w:rPr>
              <w:t>Y</w:t>
            </w:r>
            <w:r>
              <w:rPr>
                <w:rFonts w:ascii="Calibri" w:hAnsi="Calibri" w:cs="Arial"/>
                <w:sz w:val="24"/>
                <w:szCs w:val="24"/>
              </w:rPr>
              <w:t xml:space="preserve">ear </w:t>
            </w:r>
            <w:r w:rsidRPr="00DB6586">
              <w:rPr>
                <w:rFonts w:ascii="Calibri" w:hAnsi="Calibri" w:cs="Arial"/>
                <w:sz w:val="24"/>
                <w:szCs w:val="24"/>
              </w:rPr>
              <w:t>R to Y</w:t>
            </w:r>
            <w:r>
              <w:rPr>
                <w:rFonts w:ascii="Calibri" w:hAnsi="Calibri" w:cs="Arial"/>
                <w:sz w:val="24"/>
                <w:szCs w:val="24"/>
              </w:rPr>
              <w:t xml:space="preserve">ear </w:t>
            </w:r>
            <w:r w:rsidRPr="00DB6586">
              <w:rPr>
                <w:rFonts w:ascii="Calibri" w:hAnsi="Calibri" w:cs="Arial"/>
                <w:sz w:val="24"/>
                <w:szCs w:val="24"/>
              </w:rPr>
              <w:t xml:space="preserve">2, </w:t>
            </w:r>
            <w:proofErr w:type="gramStart"/>
            <w:r w:rsidRPr="00DB6586">
              <w:rPr>
                <w:rFonts w:ascii="Calibri" w:hAnsi="Calibri" w:cs="Arial"/>
                <w:sz w:val="24"/>
                <w:szCs w:val="24"/>
              </w:rPr>
              <w:t>south east</w:t>
            </w:r>
            <w:proofErr w:type="gramEnd"/>
            <w:r w:rsidRPr="00DB6586">
              <w:rPr>
                <w:rFonts w:ascii="Calibri" w:hAnsi="Calibri" w:cs="Arial"/>
                <w:sz w:val="24"/>
                <w:szCs w:val="24"/>
              </w:rPr>
              <w:t xml:space="preserve"> Furzton is shared with Merebrook Infant School.</w:t>
            </w:r>
            <w:r>
              <w:rPr>
                <w:rFonts w:ascii="Calibri" w:hAnsi="Calibri" w:cs="Arial"/>
                <w:sz w:val="24"/>
                <w:szCs w:val="24"/>
              </w:rPr>
              <w:t xml:space="preserve">  </w:t>
            </w:r>
            <w:r w:rsidRPr="00DB6586">
              <w:rPr>
                <w:rFonts w:ascii="Calibri" w:hAnsi="Calibri" w:cs="Arial"/>
                <w:sz w:val="24"/>
                <w:szCs w:val="24"/>
              </w:rPr>
              <w:t xml:space="preserve">For children transferring into </w:t>
            </w:r>
            <w:r>
              <w:rPr>
                <w:rFonts w:ascii="Calibri" w:hAnsi="Calibri" w:cs="Arial"/>
                <w:sz w:val="24"/>
                <w:szCs w:val="24"/>
              </w:rPr>
              <w:t>Y</w:t>
            </w:r>
            <w:r w:rsidRPr="00DB6586">
              <w:rPr>
                <w:rFonts w:ascii="Calibri" w:hAnsi="Calibri" w:cs="Arial"/>
                <w:sz w:val="24"/>
                <w:szCs w:val="24"/>
              </w:rPr>
              <w:t>ear 3 south east Furzton is shared with Emerson Valley Junior School.</w:t>
            </w:r>
          </w:p>
        </w:tc>
      </w:tr>
      <w:tr w:rsidR="00605997" w14:paraId="76545658" w14:textId="77777777" w:rsidTr="00EE4CDE">
        <w:tc>
          <w:tcPr>
            <w:tcW w:w="2972" w:type="dxa"/>
          </w:tcPr>
          <w:p w14:paraId="3DC36AF5" w14:textId="77777777" w:rsidR="00605997" w:rsidRDefault="00605997" w:rsidP="00EE4CDE">
            <w:pPr>
              <w:spacing w:line="276" w:lineRule="auto"/>
              <w:rPr>
                <w:color w:val="000000" w:themeColor="text1"/>
                <w:sz w:val="24"/>
                <w:szCs w:val="24"/>
              </w:rPr>
            </w:pPr>
            <w:r>
              <w:rPr>
                <w:color w:val="000000" w:themeColor="text1"/>
                <w:sz w:val="24"/>
                <w:szCs w:val="24"/>
              </w:rPr>
              <w:t>Downs Barn</w:t>
            </w:r>
          </w:p>
        </w:tc>
        <w:tc>
          <w:tcPr>
            <w:tcW w:w="6917" w:type="dxa"/>
          </w:tcPr>
          <w:p w14:paraId="0CEAFFBD" w14:textId="77777777" w:rsidR="00605997" w:rsidRPr="00907400" w:rsidRDefault="00605997" w:rsidP="00EE4CDE">
            <w:pPr>
              <w:rPr>
                <w:rFonts w:ascii="Calibri" w:eastAsia="Times New Roman" w:hAnsi="Calibri" w:cs="Arial"/>
                <w:sz w:val="24"/>
                <w:szCs w:val="24"/>
              </w:rPr>
            </w:pPr>
            <w:r w:rsidRPr="00907400">
              <w:rPr>
                <w:rFonts w:ascii="Calibri" w:eastAsia="Times New Roman" w:hAnsi="Calibri" w:cs="Arial"/>
                <w:sz w:val="24"/>
                <w:szCs w:val="24"/>
              </w:rPr>
              <w:t xml:space="preserve">Downs Barn, Campbell Park north of the park, and the following roads on </w:t>
            </w:r>
            <w:proofErr w:type="spellStart"/>
            <w:r w:rsidRPr="00907400">
              <w:rPr>
                <w:rFonts w:ascii="Calibri" w:eastAsia="Times New Roman" w:hAnsi="Calibri" w:cs="Arial"/>
                <w:sz w:val="24"/>
                <w:szCs w:val="24"/>
              </w:rPr>
              <w:t>Downhead</w:t>
            </w:r>
            <w:proofErr w:type="spellEnd"/>
            <w:r w:rsidRPr="00907400">
              <w:rPr>
                <w:rFonts w:ascii="Calibri" w:eastAsia="Times New Roman" w:hAnsi="Calibri" w:cs="Arial"/>
                <w:sz w:val="24"/>
                <w:szCs w:val="24"/>
              </w:rPr>
              <w:t xml:space="preserve"> Park: </w:t>
            </w:r>
          </w:p>
          <w:p w14:paraId="2E61BB1F" w14:textId="77777777" w:rsidR="00605997" w:rsidRDefault="00605997" w:rsidP="00EE4CDE">
            <w:pPr>
              <w:spacing w:line="276" w:lineRule="auto"/>
              <w:rPr>
                <w:color w:val="000000" w:themeColor="text1"/>
                <w:sz w:val="24"/>
                <w:szCs w:val="24"/>
              </w:rPr>
            </w:pPr>
            <w:proofErr w:type="spellStart"/>
            <w:r w:rsidRPr="00907400">
              <w:rPr>
                <w:rFonts w:ascii="Calibri" w:eastAsia="Times New Roman" w:hAnsi="Calibri" w:cs="Arial"/>
                <w:sz w:val="24"/>
                <w:szCs w:val="24"/>
              </w:rPr>
              <w:t>Colesbourne</w:t>
            </w:r>
            <w:proofErr w:type="spellEnd"/>
            <w:r w:rsidRPr="00907400">
              <w:rPr>
                <w:rFonts w:ascii="Calibri" w:eastAsia="Times New Roman" w:hAnsi="Calibri" w:cs="Arial"/>
                <w:sz w:val="24"/>
                <w:szCs w:val="24"/>
              </w:rPr>
              <w:t xml:space="preserve"> Drive (61 odds upwards and 66 evens upwards), Daylesford Court, Fairford Crescent (even numbers 2-14 only) Kirtlington, Oakley Gardens, Thorneycroft Lane (even numbers) and </w:t>
            </w:r>
            <w:proofErr w:type="spellStart"/>
            <w:r w:rsidRPr="00907400">
              <w:rPr>
                <w:rFonts w:ascii="Calibri" w:eastAsia="Times New Roman" w:hAnsi="Calibri" w:cs="Arial"/>
                <w:sz w:val="24"/>
                <w:szCs w:val="24"/>
              </w:rPr>
              <w:t>Warmington</w:t>
            </w:r>
            <w:proofErr w:type="spellEnd"/>
            <w:r w:rsidRPr="00907400">
              <w:rPr>
                <w:rFonts w:ascii="Calibri" w:eastAsia="Times New Roman" w:hAnsi="Calibri" w:cs="Arial"/>
                <w:sz w:val="24"/>
                <w:szCs w:val="24"/>
              </w:rPr>
              <w:t xml:space="preserve"> Gardens</w:t>
            </w:r>
          </w:p>
        </w:tc>
      </w:tr>
      <w:tr w:rsidR="00605997" w14:paraId="5AEC0AA0" w14:textId="77777777" w:rsidTr="00EE4CDE">
        <w:tc>
          <w:tcPr>
            <w:tcW w:w="2972" w:type="dxa"/>
          </w:tcPr>
          <w:p w14:paraId="23A32986" w14:textId="1C8A186E" w:rsidR="00605997" w:rsidRDefault="00605997" w:rsidP="00605997">
            <w:pPr>
              <w:spacing w:line="276" w:lineRule="auto"/>
              <w:rPr>
                <w:color w:val="000000" w:themeColor="text1"/>
                <w:sz w:val="24"/>
                <w:szCs w:val="24"/>
              </w:rPr>
            </w:pPr>
            <w:r w:rsidRPr="002A0333">
              <w:rPr>
                <w:rFonts w:ascii="Calibri" w:hAnsi="Calibri" w:cs="Arial"/>
                <w:sz w:val="24"/>
                <w:szCs w:val="24"/>
              </w:rPr>
              <w:t>Emerson Valley</w:t>
            </w:r>
          </w:p>
        </w:tc>
        <w:tc>
          <w:tcPr>
            <w:tcW w:w="6917" w:type="dxa"/>
          </w:tcPr>
          <w:p w14:paraId="457CAC55" w14:textId="78D807E1" w:rsidR="00605997" w:rsidRPr="00907400" w:rsidRDefault="00605997" w:rsidP="00605997">
            <w:pPr>
              <w:rPr>
                <w:rFonts w:ascii="Calibri" w:eastAsia="Times New Roman" w:hAnsi="Calibri" w:cs="Arial"/>
                <w:sz w:val="24"/>
                <w:szCs w:val="24"/>
              </w:rPr>
            </w:pPr>
            <w:r w:rsidRPr="002A0333">
              <w:rPr>
                <w:rFonts w:ascii="Calibri" w:hAnsi="Calibri" w:cs="Arial"/>
                <w:sz w:val="24"/>
                <w:szCs w:val="24"/>
              </w:rPr>
              <w:t>Emerson Valley and Furzton</w:t>
            </w:r>
            <w:r>
              <w:rPr>
                <w:rFonts w:ascii="Calibri" w:hAnsi="Calibri" w:cs="Arial"/>
                <w:sz w:val="24"/>
                <w:szCs w:val="24"/>
              </w:rPr>
              <w:t xml:space="preserve">.  </w:t>
            </w:r>
            <w:r w:rsidRPr="002A0333">
              <w:rPr>
                <w:rFonts w:ascii="Calibri" w:hAnsi="Calibri" w:cs="Arial"/>
                <w:sz w:val="24"/>
                <w:szCs w:val="24"/>
              </w:rPr>
              <w:t xml:space="preserve">The </w:t>
            </w:r>
            <w:proofErr w:type="gramStart"/>
            <w:r w:rsidRPr="002A0333">
              <w:rPr>
                <w:rFonts w:ascii="Calibri" w:hAnsi="Calibri" w:cs="Arial"/>
                <w:sz w:val="24"/>
                <w:szCs w:val="24"/>
              </w:rPr>
              <w:t>south east</w:t>
            </w:r>
            <w:proofErr w:type="gramEnd"/>
            <w:r w:rsidRPr="002A0333">
              <w:rPr>
                <w:rFonts w:ascii="Calibri" w:hAnsi="Calibri" w:cs="Arial"/>
                <w:sz w:val="24"/>
                <w:szCs w:val="24"/>
              </w:rPr>
              <w:t xml:space="preserve"> corner of Furzton is shared between Cold Harbour CE School and Merebrook/Emerson Valley Schools</w:t>
            </w:r>
          </w:p>
        </w:tc>
      </w:tr>
      <w:tr w:rsidR="00605997" w14:paraId="4D942F74" w14:textId="77777777" w:rsidTr="00EE4CDE">
        <w:tc>
          <w:tcPr>
            <w:tcW w:w="2972" w:type="dxa"/>
          </w:tcPr>
          <w:p w14:paraId="34DF834C" w14:textId="12B32D5D" w:rsidR="00605997" w:rsidRDefault="00605997" w:rsidP="00605997">
            <w:pPr>
              <w:spacing w:line="276" w:lineRule="auto"/>
              <w:rPr>
                <w:color w:val="000000" w:themeColor="text1"/>
                <w:sz w:val="24"/>
                <w:szCs w:val="24"/>
              </w:rPr>
            </w:pPr>
            <w:r w:rsidRPr="002A0333">
              <w:rPr>
                <w:rFonts w:ascii="Calibri" w:hAnsi="Calibri" w:cs="Arial"/>
                <w:sz w:val="24"/>
                <w:szCs w:val="24"/>
              </w:rPr>
              <w:t>Falconhurst</w:t>
            </w:r>
          </w:p>
        </w:tc>
        <w:tc>
          <w:tcPr>
            <w:tcW w:w="6917" w:type="dxa"/>
          </w:tcPr>
          <w:p w14:paraId="7DBCC310" w14:textId="7EE00E8A" w:rsidR="00605997" w:rsidRPr="00907400" w:rsidRDefault="00605997" w:rsidP="00605997">
            <w:pPr>
              <w:rPr>
                <w:rFonts w:ascii="Calibri" w:eastAsia="Times New Roman" w:hAnsi="Calibri" w:cs="Arial"/>
                <w:sz w:val="24"/>
                <w:szCs w:val="24"/>
              </w:rPr>
            </w:pPr>
            <w:r w:rsidRPr="002A0333">
              <w:rPr>
                <w:rFonts w:ascii="Calibri" w:hAnsi="Calibri" w:cs="Arial"/>
                <w:sz w:val="24"/>
                <w:szCs w:val="24"/>
              </w:rPr>
              <w:t>Eaglestone and Peartree Bridge</w:t>
            </w:r>
          </w:p>
        </w:tc>
      </w:tr>
      <w:tr w:rsidR="00605997" w14:paraId="6613C261" w14:textId="77777777" w:rsidTr="00EE4CDE">
        <w:tc>
          <w:tcPr>
            <w:tcW w:w="2972" w:type="dxa"/>
          </w:tcPr>
          <w:p w14:paraId="2BA1ABC3" w14:textId="749AC874" w:rsidR="00605997" w:rsidRDefault="00605997" w:rsidP="00605997">
            <w:pPr>
              <w:spacing w:line="276" w:lineRule="auto"/>
              <w:rPr>
                <w:color w:val="000000" w:themeColor="text1"/>
                <w:sz w:val="24"/>
                <w:szCs w:val="24"/>
              </w:rPr>
            </w:pPr>
            <w:r w:rsidRPr="002A0333">
              <w:rPr>
                <w:rFonts w:ascii="Calibri" w:hAnsi="Calibri" w:cs="Arial"/>
                <w:sz w:val="24"/>
                <w:szCs w:val="24"/>
              </w:rPr>
              <w:t>Giffard Park Primary</w:t>
            </w:r>
          </w:p>
        </w:tc>
        <w:tc>
          <w:tcPr>
            <w:tcW w:w="6917" w:type="dxa"/>
          </w:tcPr>
          <w:p w14:paraId="74471594" w14:textId="710901F3" w:rsidR="00605997" w:rsidRPr="00907400" w:rsidRDefault="00605997" w:rsidP="00605997">
            <w:pPr>
              <w:rPr>
                <w:rFonts w:ascii="Calibri" w:eastAsia="Times New Roman" w:hAnsi="Calibri" w:cs="Arial"/>
                <w:sz w:val="24"/>
                <w:szCs w:val="24"/>
              </w:rPr>
            </w:pPr>
            <w:proofErr w:type="spellStart"/>
            <w:r w:rsidRPr="002A0333">
              <w:rPr>
                <w:rFonts w:ascii="Calibri" w:hAnsi="Calibri" w:cs="Arial"/>
                <w:sz w:val="24"/>
                <w:szCs w:val="24"/>
              </w:rPr>
              <w:t>Blakelands</w:t>
            </w:r>
            <w:proofErr w:type="spellEnd"/>
            <w:r w:rsidRPr="002A0333">
              <w:rPr>
                <w:rFonts w:ascii="Calibri" w:hAnsi="Calibri" w:cs="Arial"/>
                <w:sz w:val="24"/>
                <w:szCs w:val="24"/>
              </w:rPr>
              <w:t>, Giffard Park, Redhouse Park and the following areas in Great Linford (north of the canal), Campion, The Crescent and Station Terrace</w:t>
            </w:r>
          </w:p>
        </w:tc>
      </w:tr>
      <w:tr w:rsidR="00605997" w14:paraId="7F329558" w14:textId="77777777" w:rsidTr="00EE4CDE">
        <w:tc>
          <w:tcPr>
            <w:tcW w:w="2972" w:type="dxa"/>
          </w:tcPr>
          <w:p w14:paraId="4E4D295E" w14:textId="019CB234" w:rsidR="00605997" w:rsidRDefault="00605997" w:rsidP="00605997">
            <w:pPr>
              <w:spacing w:line="276" w:lineRule="auto"/>
              <w:rPr>
                <w:color w:val="000000" w:themeColor="text1"/>
                <w:sz w:val="24"/>
                <w:szCs w:val="24"/>
              </w:rPr>
            </w:pPr>
            <w:r w:rsidRPr="002A0333">
              <w:rPr>
                <w:rFonts w:ascii="Calibri" w:hAnsi="Calibri" w:cs="Arial"/>
                <w:sz w:val="24"/>
                <w:szCs w:val="24"/>
              </w:rPr>
              <w:t>Giles Brook Primary</w:t>
            </w:r>
          </w:p>
        </w:tc>
        <w:tc>
          <w:tcPr>
            <w:tcW w:w="6917" w:type="dxa"/>
          </w:tcPr>
          <w:p w14:paraId="0138E840" w14:textId="736D3028" w:rsidR="00605997" w:rsidRPr="00907400" w:rsidRDefault="00605997" w:rsidP="00605997">
            <w:pPr>
              <w:rPr>
                <w:rFonts w:ascii="Calibri" w:eastAsia="Times New Roman" w:hAnsi="Calibri" w:cs="Arial"/>
                <w:sz w:val="24"/>
                <w:szCs w:val="24"/>
              </w:rPr>
            </w:pPr>
            <w:r w:rsidRPr="002A0333">
              <w:rPr>
                <w:rFonts w:ascii="Calibri" w:hAnsi="Calibri" w:cs="Arial"/>
                <w:sz w:val="24"/>
                <w:szCs w:val="24"/>
              </w:rPr>
              <w:t>Tattenhoe</w:t>
            </w:r>
          </w:p>
        </w:tc>
      </w:tr>
      <w:tr w:rsidR="00605997" w14:paraId="1666C987" w14:textId="77777777" w:rsidTr="00EE4CDE">
        <w:tc>
          <w:tcPr>
            <w:tcW w:w="2972" w:type="dxa"/>
          </w:tcPr>
          <w:p w14:paraId="650DB69B" w14:textId="004DF851" w:rsidR="00605997" w:rsidRPr="002A0333" w:rsidRDefault="00605997" w:rsidP="00605997">
            <w:pPr>
              <w:spacing w:line="276" w:lineRule="auto"/>
              <w:rPr>
                <w:rFonts w:ascii="Calibri" w:hAnsi="Calibri" w:cs="Arial"/>
                <w:sz w:val="24"/>
                <w:szCs w:val="24"/>
              </w:rPr>
            </w:pPr>
            <w:r w:rsidRPr="002A0333">
              <w:rPr>
                <w:rFonts w:ascii="Calibri" w:hAnsi="Calibri" w:cs="Arial"/>
                <w:sz w:val="24"/>
                <w:szCs w:val="24"/>
              </w:rPr>
              <w:t>Great Linford Primary</w:t>
            </w:r>
          </w:p>
        </w:tc>
        <w:tc>
          <w:tcPr>
            <w:tcW w:w="6917" w:type="dxa"/>
          </w:tcPr>
          <w:p w14:paraId="5A2346FA" w14:textId="4A3BFEB6" w:rsidR="00605997" w:rsidRPr="002A0333" w:rsidRDefault="00605997" w:rsidP="00605997">
            <w:pPr>
              <w:rPr>
                <w:rFonts w:ascii="Calibri" w:hAnsi="Calibri" w:cs="Arial"/>
                <w:sz w:val="24"/>
                <w:szCs w:val="24"/>
              </w:rPr>
            </w:pPr>
            <w:r w:rsidRPr="002A0333">
              <w:rPr>
                <w:rFonts w:ascii="Calibri" w:hAnsi="Calibri" w:cs="Arial"/>
                <w:sz w:val="24"/>
                <w:szCs w:val="24"/>
              </w:rPr>
              <w:t xml:space="preserve">Great Linford, Great Linford Village and the following roads on Stantonbury which are shared with Wood End and St Andrews CE Infant Schools for pupils in </w:t>
            </w:r>
            <w:r>
              <w:rPr>
                <w:rFonts w:ascii="Calibri" w:hAnsi="Calibri" w:cs="Arial"/>
                <w:sz w:val="24"/>
                <w:szCs w:val="24"/>
              </w:rPr>
              <w:t>Y</w:t>
            </w:r>
            <w:r w:rsidRPr="002A0333">
              <w:rPr>
                <w:rFonts w:ascii="Calibri" w:hAnsi="Calibri" w:cs="Arial"/>
                <w:sz w:val="24"/>
                <w:szCs w:val="24"/>
              </w:rPr>
              <w:t xml:space="preserve">ears R to </w:t>
            </w:r>
            <w:r>
              <w:rPr>
                <w:rFonts w:ascii="Calibri" w:hAnsi="Calibri" w:cs="Arial"/>
                <w:sz w:val="24"/>
                <w:szCs w:val="24"/>
              </w:rPr>
              <w:t xml:space="preserve">Year </w:t>
            </w:r>
            <w:r w:rsidRPr="002A0333">
              <w:rPr>
                <w:rFonts w:ascii="Calibri" w:hAnsi="Calibri" w:cs="Arial"/>
                <w:sz w:val="24"/>
                <w:szCs w:val="24"/>
              </w:rPr>
              <w:t>2 only:</w:t>
            </w:r>
            <w:r>
              <w:rPr>
                <w:rFonts w:ascii="Calibri" w:hAnsi="Calibri" w:cs="Arial"/>
                <w:sz w:val="24"/>
                <w:szCs w:val="24"/>
              </w:rPr>
              <w:t xml:space="preserve"> </w:t>
            </w:r>
            <w:r w:rsidRPr="002A0333">
              <w:rPr>
                <w:rFonts w:ascii="Calibri" w:hAnsi="Calibri" w:cs="Arial"/>
                <w:sz w:val="24"/>
                <w:szCs w:val="24"/>
              </w:rPr>
              <w:t xml:space="preserve">Jacobs Close, Redbridge (even numbers 68 upwards), </w:t>
            </w:r>
            <w:proofErr w:type="spellStart"/>
            <w:r w:rsidRPr="002A0333">
              <w:rPr>
                <w:rFonts w:ascii="Calibri" w:hAnsi="Calibri" w:cs="Arial"/>
                <w:sz w:val="24"/>
                <w:szCs w:val="24"/>
              </w:rPr>
              <w:t>Walshs</w:t>
            </w:r>
            <w:proofErr w:type="spellEnd"/>
            <w:r w:rsidRPr="002A0333">
              <w:rPr>
                <w:rFonts w:ascii="Calibri" w:hAnsi="Calibri" w:cs="Arial"/>
                <w:sz w:val="24"/>
                <w:szCs w:val="24"/>
              </w:rPr>
              <w:t xml:space="preserve"> Manor (odd numbers 71 upwards), </w:t>
            </w:r>
            <w:proofErr w:type="spellStart"/>
            <w:r w:rsidRPr="002A0333">
              <w:rPr>
                <w:rFonts w:ascii="Calibri" w:hAnsi="Calibri" w:cs="Arial"/>
                <w:sz w:val="24"/>
                <w:szCs w:val="24"/>
              </w:rPr>
              <w:t>Ormonde</w:t>
            </w:r>
            <w:proofErr w:type="spellEnd"/>
            <w:r w:rsidRPr="002A0333">
              <w:rPr>
                <w:rFonts w:ascii="Calibri" w:hAnsi="Calibri" w:cs="Arial"/>
                <w:sz w:val="24"/>
                <w:szCs w:val="24"/>
              </w:rPr>
              <w:t>, Rossendale, Rowle Close, Crosslands (even numbers 86 upwards and odd numbers 101 upwards)</w:t>
            </w:r>
          </w:p>
        </w:tc>
      </w:tr>
    </w:tbl>
    <w:p w14:paraId="4CF0F7C1" w14:textId="12706011" w:rsidR="00605997" w:rsidRDefault="00605997"/>
    <w:p w14:paraId="7C223826" w14:textId="77777777" w:rsidR="00605997" w:rsidRDefault="00605997">
      <w:r>
        <w:br w:type="page"/>
      </w:r>
    </w:p>
    <w:tbl>
      <w:tblPr>
        <w:tblStyle w:val="TableGrid"/>
        <w:tblW w:w="0" w:type="auto"/>
        <w:tblInd w:w="567" w:type="dxa"/>
        <w:tblLook w:val="04A0" w:firstRow="1" w:lastRow="0" w:firstColumn="1" w:lastColumn="0" w:noHBand="0" w:noVBand="1"/>
      </w:tblPr>
      <w:tblGrid>
        <w:gridCol w:w="2972"/>
        <w:gridCol w:w="6917"/>
      </w:tblGrid>
      <w:tr w:rsidR="00605997" w:rsidRPr="002A0333" w14:paraId="33DE7761" w14:textId="77777777" w:rsidTr="00605997">
        <w:tc>
          <w:tcPr>
            <w:tcW w:w="2972" w:type="dxa"/>
          </w:tcPr>
          <w:p w14:paraId="5E406D9A" w14:textId="2EFE104C" w:rsidR="00605997" w:rsidRPr="002A0333" w:rsidRDefault="00605997" w:rsidP="00605997">
            <w:pPr>
              <w:spacing w:line="276" w:lineRule="auto"/>
              <w:contextualSpacing/>
              <w:rPr>
                <w:rFonts w:ascii="Calibri" w:hAnsi="Calibri" w:cs="Arial"/>
                <w:sz w:val="24"/>
                <w:szCs w:val="24"/>
              </w:rPr>
            </w:pPr>
            <w:r w:rsidRPr="00634FC5">
              <w:rPr>
                <w:b/>
                <w:bCs/>
                <w:color w:val="000000" w:themeColor="text1"/>
                <w:sz w:val="24"/>
                <w:szCs w:val="24"/>
              </w:rPr>
              <w:lastRenderedPageBreak/>
              <w:t>School</w:t>
            </w:r>
          </w:p>
        </w:tc>
        <w:tc>
          <w:tcPr>
            <w:tcW w:w="6917" w:type="dxa"/>
          </w:tcPr>
          <w:p w14:paraId="68B99D8F" w14:textId="63C3F997" w:rsidR="00605997" w:rsidRPr="002A0333" w:rsidRDefault="00605997" w:rsidP="00605997">
            <w:pPr>
              <w:spacing w:line="276" w:lineRule="auto"/>
              <w:contextualSpacing/>
              <w:rPr>
                <w:rFonts w:ascii="Calibri" w:hAnsi="Calibri" w:cs="Arial"/>
                <w:sz w:val="24"/>
                <w:szCs w:val="24"/>
              </w:rPr>
            </w:pPr>
            <w:r w:rsidRPr="00634FC5">
              <w:rPr>
                <w:b/>
                <w:bCs/>
                <w:color w:val="000000" w:themeColor="text1"/>
                <w:sz w:val="24"/>
                <w:szCs w:val="24"/>
              </w:rPr>
              <w:t>Catchment area</w:t>
            </w:r>
          </w:p>
        </w:tc>
      </w:tr>
      <w:tr w:rsidR="00605997" w:rsidRPr="002A0333" w14:paraId="78FBC9C7" w14:textId="77777777" w:rsidTr="00605997">
        <w:tc>
          <w:tcPr>
            <w:tcW w:w="2972" w:type="dxa"/>
          </w:tcPr>
          <w:p w14:paraId="34CF1FE5" w14:textId="77777777" w:rsidR="00605997" w:rsidRPr="002A0333" w:rsidRDefault="00605997" w:rsidP="00605997">
            <w:pPr>
              <w:spacing w:line="276" w:lineRule="auto"/>
              <w:contextualSpacing/>
              <w:rPr>
                <w:b/>
                <w:bCs/>
                <w:noProof/>
                <w:sz w:val="24"/>
                <w:szCs w:val="24"/>
              </w:rPr>
            </w:pPr>
            <w:r w:rsidRPr="002A0333">
              <w:rPr>
                <w:rFonts w:ascii="Calibri" w:hAnsi="Calibri" w:cs="Arial"/>
                <w:sz w:val="24"/>
                <w:szCs w:val="24"/>
              </w:rPr>
              <w:t>Greenleys First</w:t>
            </w:r>
          </w:p>
        </w:tc>
        <w:tc>
          <w:tcPr>
            <w:tcW w:w="6917" w:type="dxa"/>
          </w:tcPr>
          <w:p w14:paraId="090752AF" w14:textId="77777777" w:rsidR="00605997" w:rsidRPr="002A0333" w:rsidRDefault="00605997" w:rsidP="00605997">
            <w:pPr>
              <w:spacing w:line="276" w:lineRule="auto"/>
              <w:contextualSpacing/>
              <w:rPr>
                <w:b/>
                <w:bCs/>
                <w:noProof/>
                <w:sz w:val="24"/>
                <w:szCs w:val="24"/>
              </w:rPr>
            </w:pPr>
            <w:r w:rsidRPr="002A0333">
              <w:rPr>
                <w:rFonts w:ascii="Calibri" w:hAnsi="Calibri" w:cs="Arial"/>
                <w:sz w:val="24"/>
                <w:szCs w:val="24"/>
              </w:rPr>
              <w:t xml:space="preserve">Greenleys (bounded in the north by Ridgeway), including Addington Avenue, Carter Grove, Frank Atter Croft, Franklins Croft, Goddards Croft, </w:t>
            </w:r>
            <w:proofErr w:type="spellStart"/>
            <w:r w:rsidRPr="002A0333">
              <w:rPr>
                <w:rFonts w:ascii="Calibri" w:hAnsi="Calibri" w:cs="Arial"/>
                <w:sz w:val="24"/>
                <w:szCs w:val="24"/>
              </w:rPr>
              <w:t>Horners</w:t>
            </w:r>
            <w:proofErr w:type="spellEnd"/>
            <w:r w:rsidRPr="002A0333">
              <w:rPr>
                <w:rFonts w:ascii="Calibri" w:hAnsi="Calibri" w:cs="Arial"/>
                <w:sz w:val="24"/>
                <w:szCs w:val="24"/>
              </w:rPr>
              <w:t xml:space="preserve"> Croft, Marron Lane, Meacham Mead, Skyward Row, Vickers Way, Wilkinson Crescent and Whiting Close plus Hodge Lea</w:t>
            </w:r>
          </w:p>
        </w:tc>
      </w:tr>
      <w:tr w:rsidR="00605997" w:rsidRPr="002A0333" w14:paraId="0E5749A0" w14:textId="77777777" w:rsidTr="00605997">
        <w:tc>
          <w:tcPr>
            <w:tcW w:w="2972" w:type="dxa"/>
          </w:tcPr>
          <w:p w14:paraId="6E78DF0F" w14:textId="77777777" w:rsidR="00605997" w:rsidRPr="002A0333" w:rsidRDefault="00605997" w:rsidP="00605997">
            <w:pPr>
              <w:spacing w:line="276" w:lineRule="auto"/>
              <w:contextualSpacing/>
              <w:rPr>
                <w:b/>
                <w:bCs/>
                <w:noProof/>
                <w:sz w:val="24"/>
                <w:szCs w:val="24"/>
              </w:rPr>
            </w:pPr>
            <w:r w:rsidRPr="002A0333">
              <w:rPr>
                <w:rFonts w:ascii="Calibri" w:hAnsi="Calibri" w:cs="Arial"/>
                <w:sz w:val="24"/>
                <w:szCs w:val="24"/>
              </w:rPr>
              <w:t>Greenleys Junior</w:t>
            </w:r>
          </w:p>
        </w:tc>
        <w:tc>
          <w:tcPr>
            <w:tcW w:w="6917" w:type="dxa"/>
          </w:tcPr>
          <w:p w14:paraId="2E1247C0" w14:textId="77777777" w:rsidR="00605997" w:rsidRPr="002A0333" w:rsidRDefault="00605997" w:rsidP="00605997">
            <w:pPr>
              <w:spacing w:line="276" w:lineRule="auto"/>
              <w:contextualSpacing/>
              <w:rPr>
                <w:b/>
                <w:bCs/>
                <w:noProof/>
                <w:sz w:val="24"/>
                <w:szCs w:val="24"/>
              </w:rPr>
            </w:pPr>
            <w:r w:rsidRPr="002A0333">
              <w:rPr>
                <w:rFonts w:ascii="Calibri" w:hAnsi="Calibri" w:cs="Arial"/>
                <w:sz w:val="24"/>
                <w:szCs w:val="24"/>
              </w:rPr>
              <w:t xml:space="preserve">Greenleys (bounded in the north by Ridgeway), including Addington Avenue, Carter Grove, Frank Atter Croft, Franklins Croft, Goddards Croft, </w:t>
            </w:r>
            <w:proofErr w:type="spellStart"/>
            <w:r w:rsidRPr="002A0333">
              <w:rPr>
                <w:rFonts w:ascii="Calibri" w:hAnsi="Calibri" w:cs="Arial"/>
                <w:sz w:val="24"/>
                <w:szCs w:val="24"/>
              </w:rPr>
              <w:t>Horners</w:t>
            </w:r>
            <w:proofErr w:type="spellEnd"/>
            <w:r w:rsidRPr="002A0333">
              <w:rPr>
                <w:rFonts w:ascii="Calibri" w:hAnsi="Calibri" w:cs="Arial"/>
                <w:sz w:val="24"/>
                <w:szCs w:val="24"/>
              </w:rPr>
              <w:t xml:space="preserve"> Croft, Marron Lane, Meacham Mead, Skyward Row, Vickers Way, Wilkinson Crescent and Whiting Close plus Hodge Lea</w:t>
            </w:r>
          </w:p>
        </w:tc>
      </w:tr>
      <w:tr w:rsidR="00605997" w:rsidRPr="002A0333" w14:paraId="2C736F55" w14:textId="77777777" w:rsidTr="00605997">
        <w:tc>
          <w:tcPr>
            <w:tcW w:w="2972" w:type="dxa"/>
          </w:tcPr>
          <w:p w14:paraId="45B02D6E" w14:textId="77777777" w:rsidR="00605997" w:rsidRPr="002A0333" w:rsidRDefault="00605997" w:rsidP="00605997">
            <w:pPr>
              <w:spacing w:line="276" w:lineRule="auto"/>
              <w:contextualSpacing/>
              <w:rPr>
                <w:b/>
                <w:bCs/>
                <w:noProof/>
                <w:sz w:val="24"/>
                <w:szCs w:val="24"/>
              </w:rPr>
            </w:pPr>
            <w:r w:rsidRPr="002A0333">
              <w:rPr>
                <w:rFonts w:ascii="Calibri" w:hAnsi="Calibri" w:cs="Arial"/>
                <w:sz w:val="24"/>
                <w:szCs w:val="24"/>
              </w:rPr>
              <w:t>Hanslope Primary</w:t>
            </w:r>
          </w:p>
        </w:tc>
        <w:tc>
          <w:tcPr>
            <w:tcW w:w="6917" w:type="dxa"/>
          </w:tcPr>
          <w:p w14:paraId="12CBB88B" w14:textId="77777777" w:rsidR="00605997" w:rsidRPr="002A0333" w:rsidRDefault="00605997" w:rsidP="00605997">
            <w:pPr>
              <w:spacing w:line="276" w:lineRule="auto"/>
              <w:contextualSpacing/>
              <w:rPr>
                <w:b/>
                <w:bCs/>
                <w:noProof/>
                <w:sz w:val="24"/>
                <w:szCs w:val="24"/>
              </w:rPr>
            </w:pPr>
            <w:r w:rsidRPr="002A0333">
              <w:rPr>
                <w:rFonts w:ascii="Calibri" w:hAnsi="Calibri" w:cs="Arial"/>
                <w:sz w:val="24"/>
                <w:szCs w:val="24"/>
              </w:rPr>
              <w:t xml:space="preserve">Hanslope Parish (except </w:t>
            </w:r>
            <w:proofErr w:type="spellStart"/>
            <w:r w:rsidRPr="002A0333">
              <w:rPr>
                <w:rFonts w:ascii="Calibri" w:hAnsi="Calibri" w:cs="Arial"/>
                <w:sz w:val="24"/>
                <w:szCs w:val="24"/>
              </w:rPr>
              <w:t>Miltford</w:t>
            </w:r>
            <w:proofErr w:type="spellEnd"/>
            <w:r w:rsidRPr="002A0333">
              <w:rPr>
                <w:rFonts w:ascii="Calibri" w:hAnsi="Calibri" w:cs="Arial"/>
                <w:sz w:val="24"/>
                <w:szCs w:val="24"/>
              </w:rPr>
              <w:t xml:space="preserve"> Leys, Lincoln Lodge, </w:t>
            </w:r>
            <w:proofErr w:type="spellStart"/>
            <w:r w:rsidRPr="002A0333">
              <w:rPr>
                <w:rFonts w:ascii="Calibri" w:hAnsi="Calibri" w:cs="Arial"/>
                <w:sz w:val="24"/>
                <w:szCs w:val="24"/>
              </w:rPr>
              <w:t>Bullington</w:t>
            </w:r>
            <w:proofErr w:type="spellEnd"/>
            <w:r w:rsidRPr="002A0333">
              <w:rPr>
                <w:rFonts w:ascii="Calibri" w:hAnsi="Calibri" w:cs="Arial"/>
                <w:sz w:val="24"/>
                <w:szCs w:val="24"/>
              </w:rPr>
              <w:t xml:space="preserve"> End and Leamington Farm). Castlethorpe Parish at </w:t>
            </w:r>
            <w:r>
              <w:rPr>
                <w:rFonts w:ascii="Calibri" w:hAnsi="Calibri" w:cs="Arial"/>
                <w:sz w:val="24"/>
                <w:szCs w:val="24"/>
              </w:rPr>
              <w:t>Year 3 (</w:t>
            </w:r>
            <w:r w:rsidRPr="002A0333">
              <w:rPr>
                <w:rFonts w:ascii="Calibri" w:hAnsi="Calibri" w:cs="Arial"/>
                <w:sz w:val="24"/>
                <w:szCs w:val="24"/>
              </w:rPr>
              <w:t>age 7</w:t>
            </w:r>
            <w:r>
              <w:rPr>
                <w:rFonts w:ascii="Calibri" w:hAnsi="Calibri" w:cs="Arial"/>
                <w:sz w:val="24"/>
                <w:szCs w:val="24"/>
              </w:rPr>
              <w:t>)</w:t>
            </w:r>
          </w:p>
        </w:tc>
      </w:tr>
      <w:tr w:rsidR="00605997" w:rsidRPr="002A0333" w14:paraId="41BFDD08" w14:textId="77777777" w:rsidTr="00605997">
        <w:tc>
          <w:tcPr>
            <w:tcW w:w="2972" w:type="dxa"/>
          </w:tcPr>
          <w:p w14:paraId="6382EA9D" w14:textId="77777777" w:rsidR="00605997" w:rsidRPr="002A0333" w:rsidRDefault="00605997" w:rsidP="00605997">
            <w:pPr>
              <w:spacing w:line="276" w:lineRule="auto"/>
              <w:contextualSpacing/>
              <w:rPr>
                <w:rFonts w:ascii="Calibri" w:hAnsi="Calibri" w:cs="Arial"/>
                <w:sz w:val="24"/>
                <w:szCs w:val="24"/>
              </w:rPr>
            </w:pPr>
            <w:r w:rsidRPr="00570ED1">
              <w:rPr>
                <w:rFonts w:ascii="Calibri" w:hAnsi="Calibri" w:cs="Arial"/>
                <w:sz w:val="24"/>
                <w:szCs w:val="24"/>
              </w:rPr>
              <w:t>Haversham Village</w:t>
            </w:r>
          </w:p>
        </w:tc>
        <w:tc>
          <w:tcPr>
            <w:tcW w:w="6917" w:type="dxa"/>
          </w:tcPr>
          <w:p w14:paraId="306F87F7" w14:textId="77777777" w:rsidR="00605997" w:rsidRPr="002A0333" w:rsidRDefault="00605997" w:rsidP="00605997">
            <w:pPr>
              <w:spacing w:line="276" w:lineRule="auto"/>
              <w:contextualSpacing/>
              <w:rPr>
                <w:rFonts w:ascii="Calibri" w:hAnsi="Calibri" w:cs="Arial"/>
                <w:sz w:val="24"/>
                <w:szCs w:val="24"/>
              </w:rPr>
            </w:pPr>
            <w:r w:rsidRPr="00570ED1">
              <w:rPr>
                <w:rFonts w:ascii="Calibri" w:hAnsi="Calibri" w:cs="Arial"/>
                <w:sz w:val="24"/>
                <w:szCs w:val="24"/>
              </w:rPr>
              <w:t>Haversham Village, Haversham Estate and Little Linford</w:t>
            </w:r>
          </w:p>
        </w:tc>
      </w:tr>
      <w:tr w:rsidR="00605997" w:rsidRPr="002A0333" w14:paraId="190C974E" w14:textId="77777777" w:rsidTr="00605997">
        <w:tc>
          <w:tcPr>
            <w:tcW w:w="2972" w:type="dxa"/>
          </w:tcPr>
          <w:p w14:paraId="788F4EA0" w14:textId="77777777" w:rsidR="00605997" w:rsidRPr="002A0333" w:rsidRDefault="00605997" w:rsidP="00605997">
            <w:pPr>
              <w:spacing w:line="276" w:lineRule="auto"/>
              <w:contextualSpacing/>
              <w:rPr>
                <w:rFonts w:ascii="Calibri" w:hAnsi="Calibri" w:cs="Arial"/>
                <w:sz w:val="24"/>
                <w:szCs w:val="24"/>
              </w:rPr>
            </w:pPr>
            <w:r w:rsidRPr="00570ED1">
              <w:rPr>
                <w:rFonts w:ascii="Calibri" w:hAnsi="Calibri" w:cs="Arial"/>
                <w:sz w:val="24"/>
                <w:szCs w:val="24"/>
              </w:rPr>
              <w:t>Heelands</w:t>
            </w:r>
          </w:p>
        </w:tc>
        <w:tc>
          <w:tcPr>
            <w:tcW w:w="6917" w:type="dxa"/>
          </w:tcPr>
          <w:p w14:paraId="2CC83E59" w14:textId="77777777" w:rsidR="00605997" w:rsidRPr="002A0333" w:rsidRDefault="00605997" w:rsidP="00605997">
            <w:pPr>
              <w:spacing w:line="276" w:lineRule="auto"/>
              <w:contextualSpacing/>
              <w:rPr>
                <w:rFonts w:ascii="Calibri" w:hAnsi="Calibri" w:cs="Arial"/>
                <w:sz w:val="24"/>
                <w:szCs w:val="24"/>
              </w:rPr>
            </w:pPr>
            <w:r w:rsidRPr="00570ED1">
              <w:rPr>
                <w:rFonts w:ascii="Calibri" w:hAnsi="Calibri" w:cs="Arial"/>
                <w:sz w:val="24"/>
                <w:szCs w:val="24"/>
              </w:rPr>
              <w:t>Heelands</w:t>
            </w:r>
          </w:p>
        </w:tc>
      </w:tr>
      <w:tr w:rsidR="00605997" w:rsidRPr="002A0333" w14:paraId="5D3D3E49" w14:textId="77777777" w:rsidTr="00605997">
        <w:tc>
          <w:tcPr>
            <w:tcW w:w="2972" w:type="dxa"/>
          </w:tcPr>
          <w:p w14:paraId="13153CF1" w14:textId="77777777" w:rsidR="00605997" w:rsidRPr="002A0333" w:rsidRDefault="00605997" w:rsidP="00605997">
            <w:pPr>
              <w:spacing w:line="276" w:lineRule="auto"/>
              <w:contextualSpacing/>
              <w:rPr>
                <w:rFonts w:ascii="Calibri" w:hAnsi="Calibri" w:cs="Arial"/>
                <w:sz w:val="24"/>
                <w:szCs w:val="24"/>
              </w:rPr>
            </w:pPr>
            <w:r>
              <w:rPr>
                <w:rFonts w:ascii="Calibri" w:hAnsi="Calibri" w:cs="Arial"/>
                <w:sz w:val="24"/>
                <w:szCs w:val="24"/>
              </w:rPr>
              <w:t>Howe Park</w:t>
            </w:r>
          </w:p>
        </w:tc>
        <w:tc>
          <w:tcPr>
            <w:tcW w:w="6917" w:type="dxa"/>
          </w:tcPr>
          <w:p w14:paraId="30CFA678" w14:textId="77777777" w:rsidR="00605997" w:rsidRPr="00E72F8E" w:rsidRDefault="00605997" w:rsidP="00605997">
            <w:pPr>
              <w:spacing w:line="276" w:lineRule="auto"/>
              <w:jc w:val="both"/>
              <w:rPr>
                <w:rFonts w:ascii="Calibri" w:eastAsia="Times New Roman" w:hAnsi="Calibri" w:cs="Arial"/>
                <w:sz w:val="24"/>
                <w:szCs w:val="24"/>
              </w:rPr>
            </w:pPr>
            <w:r w:rsidRPr="00E72F8E">
              <w:rPr>
                <w:rFonts w:ascii="Calibri" w:eastAsia="Times New Roman" w:hAnsi="Calibri" w:cs="Arial"/>
                <w:sz w:val="24"/>
                <w:szCs w:val="24"/>
              </w:rPr>
              <w:t>Emerson Valley not including the roads listed below.</w:t>
            </w:r>
          </w:p>
          <w:p w14:paraId="293216EC" w14:textId="77777777" w:rsidR="00605997" w:rsidRPr="00E72F8E" w:rsidRDefault="00605997" w:rsidP="00605997">
            <w:pPr>
              <w:spacing w:line="276" w:lineRule="auto"/>
              <w:jc w:val="both"/>
              <w:rPr>
                <w:rFonts w:ascii="Calibri" w:eastAsia="Times New Roman" w:hAnsi="Calibri" w:cs="Arial"/>
                <w:sz w:val="24"/>
                <w:szCs w:val="24"/>
              </w:rPr>
            </w:pPr>
            <w:r w:rsidRPr="00E72F8E">
              <w:rPr>
                <w:rFonts w:ascii="Calibri" w:eastAsia="Times New Roman" w:hAnsi="Calibri" w:cs="Arial"/>
                <w:sz w:val="24"/>
                <w:szCs w:val="24"/>
              </w:rPr>
              <w:t>The following roads on Emerson Valley are in catchment for Merebrook Infant School and not Howe Park School:</w:t>
            </w:r>
          </w:p>
          <w:p w14:paraId="01A62099" w14:textId="77777777" w:rsidR="00605997" w:rsidRPr="002A0333" w:rsidRDefault="00605997" w:rsidP="00605997">
            <w:pPr>
              <w:spacing w:line="276" w:lineRule="auto"/>
              <w:contextualSpacing/>
              <w:rPr>
                <w:rFonts w:ascii="Calibri" w:hAnsi="Calibri" w:cs="Arial"/>
                <w:sz w:val="24"/>
                <w:szCs w:val="24"/>
              </w:rPr>
            </w:pPr>
            <w:proofErr w:type="spellStart"/>
            <w:r w:rsidRPr="00E72F8E">
              <w:rPr>
                <w:rFonts w:ascii="Calibri" w:eastAsia="Times New Roman" w:hAnsi="Calibri" w:cs="Arial"/>
                <w:sz w:val="24"/>
                <w:szCs w:val="24"/>
              </w:rPr>
              <w:t>Alstonefield</w:t>
            </w:r>
            <w:proofErr w:type="spellEnd"/>
            <w:r w:rsidRPr="00E72F8E">
              <w:rPr>
                <w:rFonts w:ascii="Calibri" w:eastAsia="Times New Roman" w:hAnsi="Calibri" w:cs="Arial"/>
                <w:sz w:val="24"/>
                <w:szCs w:val="24"/>
              </w:rPr>
              <w:t xml:space="preserve">, </w:t>
            </w:r>
            <w:proofErr w:type="spellStart"/>
            <w:r w:rsidRPr="00E72F8E">
              <w:rPr>
                <w:rFonts w:ascii="Calibri" w:eastAsia="Times New Roman" w:hAnsi="Calibri" w:cs="Arial"/>
                <w:sz w:val="24"/>
                <w:szCs w:val="24"/>
              </w:rPr>
              <w:t>Archford</w:t>
            </w:r>
            <w:proofErr w:type="spellEnd"/>
            <w:r w:rsidRPr="00E72F8E">
              <w:rPr>
                <w:rFonts w:ascii="Calibri" w:eastAsia="Times New Roman" w:hAnsi="Calibri" w:cs="Arial"/>
                <w:sz w:val="24"/>
                <w:szCs w:val="24"/>
              </w:rPr>
              <w:t xml:space="preserve"> Croft, </w:t>
            </w:r>
            <w:proofErr w:type="spellStart"/>
            <w:r w:rsidRPr="00E72F8E">
              <w:rPr>
                <w:rFonts w:ascii="Calibri" w:eastAsia="Times New Roman" w:hAnsi="Calibri" w:cs="Arial"/>
                <w:sz w:val="24"/>
                <w:szCs w:val="24"/>
              </w:rPr>
              <w:t>Banktop</w:t>
            </w:r>
            <w:proofErr w:type="spellEnd"/>
            <w:r w:rsidRPr="00E72F8E">
              <w:rPr>
                <w:rFonts w:ascii="Calibri" w:eastAsia="Times New Roman" w:hAnsi="Calibri" w:cs="Arial"/>
                <w:sz w:val="24"/>
                <w:szCs w:val="24"/>
              </w:rPr>
              <w:t xml:space="preserve"> Place, Beresford Close, </w:t>
            </w:r>
            <w:proofErr w:type="spellStart"/>
            <w:r w:rsidRPr="00E72F8E">
              <w:rPr>
                <w:rFonts w:ascii="Calibri" w:eastAsia="Times New Roman" w:hAnsi="Calibri" w:cs="Arial"/>
                <w:sz w:val="24"/>
                <w:szCs w:val="24"/>
              </w:rPr>
              <w:t>Burholme</w:t>
            </w:r>
            <w:proofErr w:type="spellEnd"/>
            <w:r w:rsidRPr="00E72F8E">
              <w:rPr>
                <w:rFonts w:ascii="Calibri" w:eastAsia="Times New Roman" w:hAnsi="Calibri" w:cs="Arial"/>
                <w:sz w:val="24"/>
                <w:szCs w:val="24"/>
              </w:rPr>
              <w:t xml:space="preserve">, Cardwell Close, </w:t>
            </w:r>
            <w:proofErr w:type="spellStart"/>
            <w:r w:rsidRPr="00E72F8E">
              <w:rPr>
                <w:rFonts w:ascii="Calibri" w:eastAsia="Times New Roman" w:hAnsi="Calibri" w:cs="Arial"/>
                <w:sz w:val="24"/>
                <w:szCs w:val="24"/>
              </w:rPr>
              <w:t>Coldeaton</w:t>
            </w:r>
            <w:proofErr w:type="spellEnd"/>
            <w:r w:rsidRPr="00E72F8E">
              <w:rPr>
                <w:rFonts w:ascii="Calibri" w:eastAsia="Times New Roman" w:hAnsi="Calibri" w:cs="Arial"/>
                <w:sz w:val="24"/>
                <w:szCs w:val="24"/>
              </w:rPr>
              <w:t xml:space="preserve"> Lane (even numbers), Chipping Vale (numbers 2-6 and 1-9), </w:t>
            </w:r>
            <w:proofErr w:type="spellStart"/>
            <w:r w:rsidRPr="00E72F8E">
              <w:rPr>
                <w:rFonts w:ascii="Calibri" w:eastAsia="Times New Roman" w:hAnsi="Calibri" w:cs="Arial"/>
                <w:sz w:val="24"/>
                <w:szCs w:val="24"/>
              </w:rPr>
              <w:t>Crosslow</w:t>
            </w:r>
            <w:proofErr w:type="spellEnd"/>
            <w:r w:rsidRPr="00E72F8E">
              <w:rPr>
                <w:rFonts w:ascii="Calibri" w:eastAsia="Times New Roman" w:hAnsi="Calibri" w:cs="Arial"/>
                <w:sz w:val="24"/>
                <w:szCs w:val="24"/>
              </w:rPr>
              <w:t xml:space="preserve"> Bank, </w:t>
            </w:r>
            <w:proofErr w:type="spellStart"/>
            <w:r w:rsidRPr="00E72F8E">
              <w:rPr>
                <w:rFonts w:ascii="Calibri" w:eastAsia="Times New Roman" w:hAnsi="Calibri" w:cs="Arial"/>
                <w:sz w:val="24"/>
                <w:szCs w:val="24"/>
              </w:rPr>
              <w:t>Edstone</w:t>
            </w:r>
            <w:proofErr w:type="spellEnd"/>
            <w:r w:rsidRPr="00E72F8E">
              <w:rPr>
                <w:rFonts w:ascii="Calibri" w:eastAsia="Times New Roman" w:hAnsi="Calibri" w:cs="Arial"/>
                <w:sz w:val="24"/>
                <w:szCs w:val="24"/>
              </w:rPr>
              <w:t xml:space="preserve"> Place, </w:t>
            </w:r>
            <w:proofErr w:type="spellStart"/>
            <w:r w:rsidRPr="00E72F8E">
              <w:rPr>
                <w:rFonts w:ascii="Calibri" w:eastAsia="Times New Roman" w:hAnsi="Calibri" w:cs="Arial"/>
                <w:sz w:val="24"/>
                <w:szCs w:val="24"/>
              </w:rPr>
              <w:t>Fadmoor</w:t>
            </w:r>
            <w:proofErr w:type="spellEnd"/>
            <w:r w:rsidRPr="00E72F8E">
              <w:rPr>
                <w:rFonts w:ascii="Calibri" w:eastAsia="Times New Roman" w:hAnsi="Calibri" w:cs="Arial"/>
                <w:sz w:val="24"/>
                <w:szCs w:val="24"/>
              </w:rPr>
              <w:t xml:space="preserve"> Place, </w:t>
            </w:r>
            <w:proofErr w:type="spellStart"/>
            <w:r w:rsidRPr="00E72F8E">
              <w:rPr>
                <w:rFonts w:ascii="Calibri" w:eastAsia="Times New Roman" w:hAnsi="Calibri" w:cs="Arial"/>
                <w:sz w:val="24"/>
                <w:szCs w:val="24"/>
              </w:rPr>
              <w:t>Gillamore</w:t>
            </w:r>
            <w:proofErr w:type="spellEnd"/>
            <w:r w:rsidRPr="00E72F8E">
              <w:rPr>
                <w:rFonts w:ascii="Calibri" w:eastAsia="Times New Roman" w:hAnsi="Calibri" w:cs="Arial"/>
                <w:sz w:val="24"/>
                <w:szCs w:val="24"/>
              </w:rPr>
              <w:t xml:space="preserve"> Close, Gratton Court, Hawkshead Drive, Hodder Lane, Pickering Drive (numbers 14-26 and 13-35), </w:t>
            </w:r>
            <w:proofErr w:type="spellStart"/>
            <w:r w:rsidRPr="00E72F8E">
              <w:rPr>
                <w:rFonts w:ascii="Calibri" w:eastAsia="Times New Roman" w:hAnsi="Calibri" w:cs="Arial"/>
                <w:sz w:val="24"/>
                <w:szCs w:val="24"/>
              </w:rPr>
              <w:t>Rusland</w:t>
            </w:r>
            <w:proofErr w:type="spellEnd"/>
            <w:r w:rsidRPr="00E72F8E">
              <w:rPr>
                <w:rFonts w:ascii="Calibri" w:eastAsia="Times New Roman" w:hAnsi="Calibri" w:cs="Arial"/>
                <w:sz w:val="24"/>
                <w:szCs w:val="24"/>
              </w:rPr>
              <w:t xml:space="preserve"> Circus (between the junctions of Hodder Lane and Pickering Drive), Ryton Place, Staple Oak and </w:t>
            </w:r>
            <w:proofErr w:type="spellStart"/>
            <w:r w:rsidRPr="00E72F8E">
              <w:rPr>
                <w:rFonts w:ascii="Calibri" w:eastAsia="Times New Roman" w:hAnsi="Calibri" w:cs="Arial"/>
                <w:sz w:val="24"/>
                <w:szCs w:val="24"/>
              </w:rPr>
              <w:t>Wolfscote</w:t>
            </w:r>
            <w:proofErr w:type="spellEnd"/>
            <w:r w:rsidRPr="00E72F8E">
              <w:rPr>
                <w:rFonts w:ascii="Calibri" w:eastAsia="Times New Roman" w:hAnsi="Calibri" w:cs="Arial"/>
                <w:sz w:val="24"/>
                <w:szCs w:val="24"/>
              </w:rPr>
              <w:t xml:space="preserve"> Lane</w:t>
            </w:r>
          </w:p>
        </w:tc>
      </w:tr>
      <w:tr w:rsidR="00605997" w:rsidRPr="002A0333" w14:paraId="190B9A45" w14:textId="77777777" w:rsidTr="00605997">
        <w:tc>
          <w:tcPr>
            <w:tcW w:w="2972" w:type="dxa"/>
          </w:tcPr>
          <w:p w14:paraId="034D511E" w14:textId="560894F4" w:rsidR="00605997" w:rsidRDefault="00605997" w:rsidP="00605997">
            <w:pPr>
              <w:spacing w:line="276" w:lineRule="auto"/>
              <w:contextualSpacing/>
              <w:rPr>
                <w:rFonts w:ascii="Calibri" w:hAnsi="Calibri" w:cs="Arial"/>
                <w:sz w:val="24"/>
                <w:szCs w:val="24"/>
              </w:rPr>
            </w:pPr>
            <w:r w:rsidRPr="001A3F9D">
              <w:rPr>
                <w:rFonts w:ascii="Calibri" w:hAnsi="Calibri" w:cs="Arial"/>
                <w:sz w:val="24"/>
                <w:szCs w:val="24"/>
              </w:rPr>
              <w:t>Long Meadow</w:t>
            </w:r>
          </w:p>
        </w:tc>
        <w:tc>
          <w:tcPr>
            <w:tcW w:w="6917" w:type="dxa"/>
          </w:tcPr>
          <w:p w14:paraId="224727D0" w14:textId="77777777" w:rsidR="00605997" w:rsidRPr="001A3F9D" w:rsidRDefault="00605997" w:rsidP="00605997">
            <w:pPr>
              <w:spacing w:line="276" w:lineRule="auto"/>
              <w:rPr>
                <w:rFonts w:ascii="Calibri" w:hAnsi="Calibri" w:cs="Arial"/>
                <w:sz w:val="24"/>
                <w:szCs w:val="24"/>
              </w:rPr>
            </w:pPr>
            <w:r w:rsidRPr="001A3F9D">
              <w:rPr>
                <w:rFonts w:ascii="Calibri" w:hAnsi="Calibri" w:cs="Arial"/>
                <w:sz w:val="24"/>
                <w:szCs w:val="24"/>
              </w:rPr>
              <w:t xml:space="preserve">Shenley Brook End (not including the area to the east) and </w:t>
            </w:r>
            <w:proofErr w:type="gramStart"/>
            <w:r w:rsidRPr="001A3F9D">
              <w:rPr>
                <w:rFonts w:ascii="Calibri" w:hAnsi="Calibri" w:cs="Arial"/>
                <w:sz w:val="24"/>
                <w:szCs w:val="24"/>
              </w:rPr>
              <w:t>Westcroft</w:t>
            </w:r>
            <w:proofErr w:type="gramEnd"/>
          </w:p>
          <w:p w14:paraId="482D9DCD" w14:textId="1ECF21DE" w:rsidR="00605997" w:rsidRPr="00E72F8E" w:rsidRDefault="00605997" w:rsidP="00605997">
            <w:pPr>
              <w:spacing w:line="276" w:lineRule="auto"/>
              <w:jc w:val="both"/>
              <w:rPr>
                <w:rFonts w:ascii="Calibri" w:eastAsia="Times New Roman" w:hAnsi="Calibri" w:cs="Arial"/>
                <w:sz w:val="24"/>
                <w:szCs w:val="24"/>
              </w:rPr>
            </w:pPr>
            <w:r w:rsidRPr="001A3F9D">
              <w:rPr>
                <w:rFonts w:ascii="Calibri" w:hAnsi="Calibri" w:cs="Arial"/>
                <w:sz w:val="24"/>
                <w:szCs w:val="24"/>
              </w:rPr>
              <w:t>The following roads on Shenley Brook End are in catchment for Caroline Haslett Primary School not Long Meadow School:</w:t>
            </w:r>
            <w:r>
              <w:rPr>
                <w:rFonts w:ascii="Calibri" w:hAnsi="Calibri" w:cs="Arial"/>
                <w:sz w:val="24"/>
                <w:szCs w:val="24"/>
              </w:rPr>
              <w:t xml:space="preserve"> </w:t>
            </w:r>
            <w:r w:rsidRPr="001A3F9D">
              <w:rPr>
                <w:rFonts w:ascii="Calibri" w:hAnsi="Calibri" w:cs="Arial"/>
                <w:sz w:val="24"/>
                <w:szCs w:val="24"/>
              </w:rPr>
              <w:t xml:space="preserve">Braford Gardens, Bremen Grove, </w:t>
            </w:r>
            <w:proofErr w:type="spellStart"/>
            <w:r w:rsidRPr="001A3F9D">
              <w:rPr>
                <w:rFonts w:ascii="Calibri" w:hAnsi="Calibri" w:cs="Arial"/>
                <w:sz w:val="24"/>
                <w:szCs w:val="24"/>
              </w:rPr>
              <w:t>Burdeleys</w:t>
            </w:r>
            <w:proofErr w:type="spellEnd"/>
            <w:r w:rsidRPr="001A3F9D">
              <w:rPr>
                <w:rFonts w:ascii="Calibri" w:hAnsi="Calibri" w:cs="Arial"/>
                <w:sz w:val="24"/>
                <w:szCs w:val="24"/>
              </w:rPr>
              <w:t xml:space="preserve"> Lane, </w:t>
            </w:r>
            <w:proofErr w:type="spellStart"/>
            <w:r w:rsidRPr="001A3F9D">
              <w:rPr>
                <w:rFonts w:ascii="Calibri" w:hAnsi="Calibri" w:cs="Arial"/>
                <w:sz w:val="24"/>
                <w:szCs w:val="24"/>
              </w:rPr>
              <w:t>Chalwell</w:t>
            </w:r>
            <w:proofErr w:type="spellEnd"/>
            <w:r w:rsidRPr="001A3F9D">
              <w:rPr>
                <w:rFonts w:ascii="Calibri" w:hAnsi="Calibri" w:cs="Arial"/>
                <w:sz w:val="24"/>
                <w:szCs w:val="24"/>
              </w:rPr>
              <w:t xml:space="preserve"> Ridge, Charbray Crescent, </w:t>
            </w:r>
            <w:proofErr w:type="spellStart"/>
            <w:r w:rsidRPr="001A3F9D">
              <w:rPr>
                <w:rFonts w:ascii="Calibri" w:hAnsi="Calibri" w:cs="Arial"/>
                <w:sz w:val="24"/>
                <w:szCs w:val="24"/>
              </w:rPr>
              <w:t>Chartley</w:t>
            </w:r>
            <w:proofErr w:type="spellEnd"/>
            <w:r w:rsidRPr="001A3F9D">
              <w:rPr>
                <w:rFonts w:ascii="Calibri" w:hAnsi="Calibri" w:cs="Arial"/>
                <w:sz w:val="24"/>
                <w:szCs w:val="24"/>
              </w:rPr>
              <w:t xml:space="preserve"> Court, Chillingham Court, Cressey Avenue, Curtis Croft, Dorking Place, Egerton Gate (east of </w:t>
            </w:r>
            <w:proofErr w:type="spellStart"/>
            <w:r w:rsidRPr="001A3F9D">
              <w:rPr>
                <w:rFonts w:ascii="Calibri" w:hAnsi="Calibri" w:cs="Arial"/>
                <w:sz w:val="24"/>
                <w:szCs w:val="24"/>
              </w:rPr>
              <w:t>Chillinghham</w:t>
            </w:r>
            <w:proofErr w:type="spellEnd"/>
            <w:r w:rsidRPr="001A3F9D">
              <w:rPr>
                <w:rFonts w:ascii="Calibri" w:hAnsi="Calibri" w:cs="Arial"/>
                <w:sz w:val="24"/>
                <w:szCs w:val="24"/>
              </w:rPr>
              <w:t xml:space="preserve"> Court), </w:t>
            </w:r>
            <w:proofErr w:type="spellStart"/>
            <w:r w:rsidRPr="001A3F9D">
              <w:rPr>
                <w:rFonts w:ascii="Calibri" w:hAnsi="Calibri" w:cs="Arial"/>
                <w:sz w:val="24"/>
                <w:szCs w:val="24"/>
              </w:rPr>
              <w:t>Gayal</w:t>
            </w:r>
            <w:proofErr w:type="spellEnd"/>
            <w:r w:rsidRPr="001A3F9D">
              <w:rPr>
                <w:rFonts w:ascii="Calibri" w:hAnsi="Calibri" w:cs="Arial"/>
                <w:sz w:val="24"/>
                <w:szCs w:val="24"/>
              </w:rPr>
              <w:t xml:space="preserve"> Croft, Orpington Grove and </w:t>
            </w:r>
            <w:proofErr w:type="spellStart"/>
            <w:r w:rsidRPr="001A3F9D">
              <w:rPr>
                <w:rFonts w:ascii="Calibri" w:hAnsi="Calibri" w:cs="Arial"/>
                <w:sz w:val="24"/>
                <w:szCs w:val="24"/>
              </w:rPr>
              <w:t>Rosecomb</w:t>
            </w:r>
            <w:proofErr w:type="spellEnd"/>
            <w:r w:rsidRPr="001A3F9D">
              <w:rPr>
                <w:rFonts w:ascii="Calibri" w:hAnsi="Calibri" w:cs="Arial"/>
                <w:sz w:val="24"/>
                <w:szCs w:val="24"/>
              </w:rPr>
              <w:t xml:space="preserve"> Place.</w:t>
            </w:r>
          </w:p>
        </w:tc>
      </w:tr>
      <w:tr w:rsidR="00605997" w:rsidRPr="002A0333" w14:paraId="4D63CF4F" w14:textId="77777777" w:rsidTr="00605997">
        <w:tc>
          <w:tcPr>
            <w:tcW w:w="2972" w:type="dxa"/>
          </w:tcPr>
          <w:p w14:paraId="37F25DE8" w14:textId="0B530A2F" w:rsidR="00605997" w:rsidRDefault="00605997" w:rsidP="00605997">
            <w:pPr>
              <w:spacing w:line="276" w:lineRule="auto"/>
              <w:contextualSpacing/>
              <w:rPr>
                <w:rFonts w:ascii="Calibri" w:hAnsi="Calibri" w:cs="Arial"/>
                <w:sz w:val="24"/>
                <w:szCs w:val="24"/>
              </w:rPr>
            </w:pPr>
            <w:r w:rsidRPr="001A3F9D">
              <w:rPr>
                <w:rFonts w:ascii="Calibri" w:hAnsi="Calibri" w:cs="Arial"/>
                <w:sz w:val="24"/>
                <w:szCs w:val="24"/>
              </w:rPr>
              <w:t>Loughton Manor First</w:t>
            </w:r>
          </w:p>
        </w:tc>
        <w:tc>
          <w:tcPr>
            <w:tcW w:w="6917" w:type="dxa"/>
          </w:tcPr>
          <w:p w14:paraId="680971E8" w14:textId="0BBA59F6" w:rsidR="00605997" w:rsidRPr="00E72F8E" w:rsidRDefault="00605997" w:rsidP="00605997">
            <w:pPr>
              <w:spacing w:line="276" w:lineRule="auto"/>
              <w:jc w:val="both"/>
              <w:rPr>
                <w:rFonts w:ascii="Calibri" w:eastAsia="Times New Roman" w:hAnsi="Calibri" w:cs="Arial"/>
                <w:sz w:val="24"/>
                <w:szCs w:val="24"/>
              </w:rPr>
            </w:pPr>
            <w:r w:rsidRPr="001A3F9D">
              <w:rPr>
                <w:rFonts w:ascii="Calibri" w:hAnsi="Calibri" w:cs="Arial"/>
                <w:sz w:val="24"/>
                <w:szCs w:val="24"/>
              </w:rPr>
              <w:t>Loughton and the following roads on Great Holm which are shared with Holmwood School:</w:t>
            </w:r>
            <w:r>
              <w:rPr>
                <w:rFonts w:ascii="Calibri" w:hAnsi="Calibri" w:cs="Arial"/>
                <w:sz w:val="24"/>
                <w:szCs w:val="24"/>
              </w:rPr>
              <w:t xml:space="preserve"> </w:t>
            </w:r>
            <w:r w:rsidRPr="001A3F9D">
              <w:rPr>
                <w:rFonts w:ascii="Calibri" w:hAnsi="Calibri" w:cs="Arial"/>
                <w:sz w:val="24"/>
                <w:szCs w:val="24"/>
              </w:rPr>
              <w:t xml:space="preserve">Anglesey Court, Basildon Court, </w:t>
            </w:r>
            <w:proofErr w:type="spellStart"/>
            <w:r w:rsidRPr="001A3F9D">
              <w:rPr>
                <w:rFonts w:ascii="Calibri" w:hAnsi="Calibri" w:cs="Arial"/>
                <w:sz w:val="24"/>
                <w:szCs w:val="24"/>
              </w:rPr>
              <w:t>Buscot</w:t>
            </w:r>
            <w:proofErr w:type="spellEnd"/>
            <w:r w:rsidRPr="001A3F9D">
              <w:rPr>
                <w:rFonts w:ascii="Calibri" w:hAnsi="Calibri" w:cs="Arial"/>
                <w:sz w:val="24"/>
                <w:szCs w:val="24"/>
              </w:rPr>
              <w:t xml:space="preserve"> Place, </w:t>
            </w:r>
            <w:proofErr w:type="spellStart"/>
            <w:r w:rsidRPr="001A3F9D">
              <w:rPr>
                <w:rFonts w:ascii="Calibri" w:hAnsi="Calibri" w:cs="Arial"/>
                <w:sz w:val="24"/>
                <w:szCs w:val="24"/>
              </w:rPr>
              <w:t>Edgecote</w:t>
            </w:r>
            <w:proofErr w:type="spellEnd"/>
            <w:r w:rsidRPr="001A3F9D">
              <w:rPr>
                <w:rFonts w:ascii="Calibri" w:hAnsi="Calibri" w:cs="Arial"/>
                <w:sz w:val="24"/>
                <w:szCs w:val="24"/>
              </w:rPr>
              <w:t xml:space="preserve">, Fenton Court, Haddon, Hampton, Houghton Court, </w:t>
            </w:r>
            <w:proofErr w:type="spellStart"/>
            <w:r w:rsidRPr="001A3F9D">
              <w:rPr>
                <w:rFonts w:ascii="Calibri" w:hAnsi="Calibri" w:cs="Arial"/>
                <w:sz w:val="24"/>
                <w:szCs w:val="24"/>
              </w:rPr>
              <w:t>Huntingbrooke</w:t>
            </w:r>
            <w:proofErr w:type="spellEnd"/>
            <w:r w:rsidRPr="001A3F9D">
              <w:rPr>
                <w:rFonts w:ascii="Calibri" w:hAnsi="Calibri" w:cs="Arial"/>
                <w:sz w:val="24"/>
                <w:szCs w:val="24"/>
              </w:rPr>
              <w:t xml:space="preserve">, Kensington Drive (numbers 89 odds and 90 evens upwards), </w:t>
            </w:r>
            <w:proofErr w:type="spellStart"/>
            <w:r w:rsidRPr="001A3F9D">
              <w:rPr>
                <w:rFonts w:ascii="Calibri" w:hAnsi="Calibri" w:cs="Arial"/>
                <w:sz w:val="24"/>
                <w:szCs w:val="24"/>
              </w:rPr>
              <w:t>Lamport</w:t>
            </w:r>
            <w:proofErr w:type="spellEnd"/>
            <w:r w:rsidRPr="001A3F9D">
              <w:rPr>
                <w:rFonts w:ascii="Calibri" w:hAnsi="Calibri" w:cs="Arial"/>
                <w:sz w:val="24"/>
                <w:szCs w:val="24"/>
              </w:rPr>
              <w:t xml:space="preserve"> Court, Rushton Court, </w:t>
            </w:r>
            <w:proofErr w:type="spellStart"/>
            <w:r w:rsidRPr="001A3F9D">
              <w:rPr>
                <w:rFonts w:ascii="Calibri" w:hAnsi="Calibri" w:cs="Arial"/>
                <w:sz w:val="24"/>
                <w:szCs w:val="24"/>
              </w:rPr>
              <w:t>Stonor</w:t>
            </w:r>
            <w:proofErr w:type="spellEnd"/>
            <w:r w:rsidRPr="001A3F9D">
              <w:rPr>
                <w:rFonts w:ascii="Calibri" w:hAnsi="Calibri" w:cs="Arial"/>
                <w:sz w:val="24"/>
                <w:szCs w:val="24"/>
              </w:rPr>
              <w:t xml:space="preserve"> Court and Waddesdon Close </w:t>
            </w:r>
          </w:p>
        </w:tc>
      </w:tr>
    </w:tbl>
    <w:p w14:paraId="40788166" w14:textId="77777777" w:rsidR="00605997" w:rsidRDefault="00605997">
      <w:r>
        <w:br w:type="page"/>
      </w:r>
    </w:p>
    <w:tbl>
      <w:tblPr>
        <w:tblStyle w:val="TableGrid"/>
        <w:tblW w:w="0" w:type="auto"/>
        <w:tblInd w:w="567" w:type="dxa"/>
        <w:tblLook w:val="04A0" w:firstRow="1" w:lastRow="0" w:firstColumn="1" w:lastColumn="0" w:noHBand="0" w:noVBand="1"/>
      </w:tblPr>
      <w:tblGrid>
        <w:gridCol w:w="2972"/>
        <w:gridCol w:w="6917"/>
      </w:tblGrid>
      <w:tr w:rsidR="00605997" w:rsidRPr="00E563A9" w14:paraId="3CD34788" w14:textId="77777777" w:rsidTr="00605997">
        <w:tc>
          <w:tcPr>
            <w:tcW w:w="2972" w:type="dxa"/>
          </w:tcPr>
          <w:p w14:paraId="7E0A0E71" w14:textId="51B8FAC0" w:rsidR="00605997" w:rsidRPr="001A3F9D" w:rsidRDefault="00605997" w:rsidP="00605997">
            <w:pPr>
              <w:spacing w:line="276" w:lineRule="auto"/>
              <w:contextualSpacing/>
              <w:rPr>
                <w:rFonts w:ascii="Calibri" w:hAnsi="Calibri" w:cs="Arial"/>
                <w:sz w:val="24"/>
                <w:szCs w:val="24"/>
              </w:rPr>
            </w:pPr>
            <w:r w:rsidRPr="00634FC5">
              <w:rPr>
                <w:b/>
                <w:bCs/>
                <w:color w:val="000000" w:themeColor="text1"/>
                <w:sz w:val="24"/>
                <w:szCs w:val="24"/>
              </w:rPr>
              <w:lastRenderedPageBreak/>
              <w:t>School</w:t>
            </w:r>
          </w:p>
        </w:tc>
        <w:tc>
          <w:tcPr>
            <w:tcW w:w="6917" w:type="dxa"/>
          </w:tcPr>
          <w:p w14:paraId="62D913A3" w14:textId="6994D9C7" w:rsidR="00605997" w:rsidRPr="001A3F9D" w:rsidRDefault="00605997" w:rsidP="00605997">
            <w:pPr>
              <w:spacing w:line="276" w:lineRule="auto"/>
              <w:rPr>
                <w:rFonts w:ascii="Calibri" w:hAnsi="Calibri" w:cs="Arial"/>
                <w:sz w:val="24"/>
                <w:szCs w:val="24"/>
              </w:rPr>
            </w:pPr>
            <w:r w:rsidRPr="00634FC5">
              <w:rPr>
                <w:b/>
                <w:bCs/>
                <w:color w:val="000000" w:themeColor="text1"/>
                <w:sz w:val="24"/>
                <w:szCs w:val="24"/>
              </w:rPr>
              <w:t>Catchment area</w:t>
            </w:r>
          </w:p>
        </w:tc>
      </w:tr>
      <w:tr w:rsidR="00605997" w:rsidRPr="00E563A9" w14:paraId="79BD5F57" w14:textId="77777777" w:rsidTr="00605997">
        <w:tc>
          <w:tcPr>
            <w:tcW w:w="2972" w:type="dxa"/>
          </w:tcPr>
          <w:p w14:paraId="7D17933B" w14:textId="4B56ADEA" w:rsidR="00605997" w:rsidRPr="00634FC5" w:rsidRDefault="00605997" w:rsidP="00605997">
            <w:pPr>
              <w:spacing w:line="276" w:lineRule="auto"/>
              <w:contextualSpacing/>
              <w:rPr>
                <w:b/>
                <w:bCs/>
                <w:color w:val="000000" w:themeColor="text1"/>
                <w:sz w:val="24"/>
                <w:szCs w:val="24"/>
              </w:rPr>
            </w:pPr>
            <w:r w:rsidRPr="001A3F9D">
              <w:rPr>
                <w:rFonts w:ascii="Calibri" w:hAnsi="Calibri" w:cs="Arial"/>
                <w:sz w:val="24"/>
                <w:szCs w:val="24"/>
              </w:rPr>
              <w:t>Merebrook Infant</w:t>
            </w:r>
          </w:p>
        </w:tc>
        <w:tc>
          <w:tcPr>
            <w:tcW w:w="6917" w:type="dxa"/>
          </w:tcPr>
          <w:p w14:paraId="0C782F5B" w14:textId="575ACEB6" w:rsidR="00605997" w:rsidRPr="00634FC5" w:rsidRDefault="00605997" w:rsidP="00605997">
            <w:pPr>
              <w:spacing w:line="276" w:lineRule="auto"/>
              <w:rPr>
                <w:b/>
                <w:bCs/>
                <w:color w:val="000000" w:themeColor="text1"/>
                <w:sz w:val="24"/>
                <w:szCs w:val="24"/>
              </w:rPr>
            </w:pPr>
            <w:r w:rsidRPr="001A3F9D">
              <w:rPr>
                <w:rFonts w:ascii="Calibri" w:hAnsi="Calibri" w:cs="Arial"/>
                <w:sz w:val="24"/>
                <w:szCs w:val="24"/>
              </w:rPr>
              <w:t>Furzton and the following roads on Emerson Valley:</w:t>
            </w:r>
            <w:r>
              <w:rPr>
                <w:rFonts w:ascii="Calibri" w:hAnsi="Calibri" w:cs="Arial"/>
                <w:sz w:val="24"/>
                <w:szCs w:val="24"/>
              </w:rPr>
              <w:t xml:space="preserve"> </w:t>
            </w:r>
            <w:proofErr w:type="spellStart"/>
            <w:r w:rsidRPr="001A3F9D">
              <w:rPr>
                <w:rFonts w:ascii="Calibri" w:hAnsi="Calibri" w:cs="Arial"/>
                <w:sz w:val="24"/>
                <w:szCs w:val="24"/>
              </w:rPr>
              <w:t>Alstonefield</w:t>
            </w:r>
            <w:proofErr w:type="spellEnd"/>
            <w:r w:rsidRPr="001A3F9D">
              <w:rPr>
                <w:rFonts w:ascii="Calibri" w:hAnsi="Calibri" w:cs="Arial"/>
                <w:sz w:val="24"/>
                <w:szCs w:val="24"/>
              </w:rPr>
              <w:t xml:space="preserve">, </w:t>
            </w:r>
            <w:proofErr w:type="spellStart"/>
            <w:r w:rsidRPr="001A3F9D">
              <w:rPr>
                <w:rFonts w:ascii="Calibri" w:hAnsi="Calibri" w:cs="Arial"/>
                <w:sz w:val="24"/>
                <w:szCs w:val="24"/>
              </w:rPr>
              <w:t>Archford</w:t>
            </w:r>
            <w:proofErr w:type="spellEnd"/>
            <w:r w:rsidRPr="001A3F9D">
              <w:rPr>
                <w:rFonts w:ascii="Calibri" w:hAnsi="Calibri" w:cs="Arial"/>
                <w:sz w:val="24"/>
                <w:szCs w:val="24"/>
              </w:rPr>
              <w:t xml:space="preserve"> Croft, </w:t>
            </w:r>
            <w:proofErr w:type="spellStart"/>
            <w:r w:rsidRPr="001A3F9D">
              <w:rPr>
                <w:rFonts w:ascii="Calibri" w:hAnsi="Calibri" w:cs="Arial"/>
                <w:sz w:val="24"/>
                <w:szCs w:val="24"/>
              </w:rPr>
              <w:t>Banktop</w:t>
            </w:r>
            <w:proofErr w:type="spellEnd"/>
            <w:r w:rsidRPr="001A3F9D">
              <w:rPr>
                <w:rFonts w:ascii="Calibri" w:hAnsi="Calibri" w:cs="Arial"/>
                <w:sz w:val="24"/>
                <w:szCs w:val="24"/>
              </w:rPr>
              <w:t xml:space="preserve"> Place, Beresford Close, </w:t>
            </w:r>
            <w:proofErr w:type="spellStart"/>
            <w:r w:rsidRPr="001A3F9D">
              <w:rPr>
                <w:rFonts w:ascii="Calibri" w:hAnsi="Calibri" w:cs="Arial"/>
                <w:sz w:val="24"/>
                <w:szCs w:val="24"/>
              </w:rPr>
              <w:t>Burholme</w:t>
            </w:r>
            <w:proofErr w:type="spellEnd"/>
            <w:r w:rsidRPr="001A3F9D">
              <w:rPr>
                <w:rFonts w:ascii="Calibri" w:hAnsi="Calibri" w:cs="Arial"/>
                <w:sz w:val="24"/>
                <w:szCs w:val="24"/>
              </w:rPr>
              <w:t xml:space="preserve">, Cardwell Close, Chipping Vale (numbers 2-6 and 1-9), </w:t>
            </w:r>
            <w:proofErr w:type="spellStart"/>
            <w:r w:rsidRPr="001A3F9D">
              <w:rPr>
                <w:rFonts w:ascii="Calibri" w:hAnsi="Calibri" w:cs="Arial"/>
                <w:sz w:val="24"/>
                <w:szCs w:val="24"/>
              </w:rPr>
              <w:t>Coldeaton</w:t>
            </w:r>
            <w:proofErr w:type="spellEnd"/>
            <w:r w:rsidRPr="001A3F9D">
              <w:rPr>
                <w:rFonts w:ascii="Calibri" w:hAnsi="Calibri" w:cs="Arial"/>
                <w:sz w:val="24"/>
                <w:szCs w:val="24"/>
              </w:rPr>
              <w:t xml:space="preserve"> Lane (even numbers), </w:t>
            </w:r>
            <w:proofErr w:type="spellStart"/>
            <w:r w:rsidRPr="001A3F9D">
              <w:rPr>
                <w:rFonts w:ascii="Calibri" w:hAnsi="Calibri" w:cs="Arial"/>
                <w:sz w:val="24"/>
                <w:szCs w:val="24"/>
              </w:rPr>
              <w:t>Crosslow</w:t>
            </w:r>
            <w:proofErr w:type="spellEnd"/>
            <w:r w:rsidRPr="001A3F9D">
              <w:rPr>
                <w:rFonts w:ascii="Calibri" w:hAnsi="Calibri" w:cs="Arial"/>
                <w:sz w:val="24"/>
                <w:szCs w:val="24"/>
              </w:rPr>
              <w:t xml:space="preserve"> Bank, </w:t>
            </w:r>
            <w:proofErr w:type="spellStart"/>
            <w:r w:rsidRPr="001A3F9D">
              <w:rPr>
                <w:rFonts w:ascii="Calibri" w:hAnsi="Calibri" w:cs="Arial"/>
                <w:sz w:val="24"/>
                <w:szCs w:val="24"/>
              </w:rPr>
              <w:t>Edstone</w:t>
            </w:r>
            <w:proofErr w:type="spellEnd"/>
            <w:r w:rsidRPr="001A3F9D">
              <w:rPr>
                <w:rFonts w:ascii="Calibri" w:hAnsi="Calibri" w:cs="Arial"/>
                <w:sz w:val="24"/>
                <w:szCs w:val="24"/>
              </w:rPr>
              <w:t xml:space="preserve"> Place, </w:t>
            </w:r>
            <w:proofErr w:type="spellStart"/>
            <w:r w:rsidRPr="001A3F9D">
              <w:rPr>
                <w:rFonts w:ascii="Calibri" w:hAnsi="Calibri" w:cs="Arial"/>
                <w:sz w:val="24"/>
                <w:szCs w:val="24"/>
              </w:rPr>
              <w:t>Fadmoor</w:t>
            </w:r>
            <w:proofErr w:type="spellEnd"/>
            <w:r w:rsidRPr="001A3F9D">
              <w:rPr>
                <w:rFonts w:ascii="Calibri" w:hAnsi="Calibri" w:cs="Arial"/>
                <w:sz w:val="24"/>
                <w:szCs w:val="24"/>
              </w:rPr>
              <w:t xml:space="preserve"> Place, </w:t>
            </w:r>
            <w:proofErr w:type="spellStart"/>
            <w:r w:rsidRPr="001A3F9D">
              <w:rPr>
                <w:rFonts w:ascii="Calibri" w:hAnsi="Calibri" w:cs="Arial"/>
                <w:sz w:val="24"/>
                <w:szCs w:val="24"/>
              </w:rPr>
              <w:t>Gillamore</w:t>
            </w:r>
            <w:proofErr w:type="spellEnd"/>
            <w:r w:rsidRPr="001A3F9D">
              <w:rPr>
                <w:rFonts w:ascii="Calibri" w:hAnsi="Calibri" w:cs="Arial"/>
                <w:sz w:val="24"/>
                <w:szCs w:val="24"/>
              </w:rPr>
              <w:t xml:space="preserve"> Close, Gratton Court, Hawkshead Drive, Hodder Lane, Pickering Drive (numbers 14-26 and 13-35), </w:t>
            </w:r>
            <w:proofErr w:type="spellStart"/>
            <w:r w:rsidRPr="001A3F9D">
              <w:rPr>
                <w:rFonts w:ascii="Calibri" w:hAnsi="Calibri" w:cs="Arial"/>
                <w:sz w:val="24"/>
                <w:szCs w:val="24"/>
              </w:rPr>
              <w:t>Rusland</w:t>
            </w:r>
            <w:proofErr w:type="spellEnd"/>
            <w:r w:rsidRPr="001A3F9D">
              <w:rPr>
                <w:rFonts w:ascii="Calibri" w:hAnsi="Calibri" w:cs="Arial"/>
                <w:sz w:val="24"/>
                <w:szCs w:val="24"/>
              </w:rPr>
              <w:t xml:space="preserve"> Circus (between the junctions of Hodder Lane and Pickering Drive), Ryton Place, Staple Oak and </w:t>
            </w:r>
            <w:proofErr w:type="spellStart"/>
            <w:r w:rsidRPr="001A3F9D">
              <w:rPr>
                <w:rFonts w:ascii="Calibri" w:hAnsi="Calibri" w:cs="Arial"/>
                <w:sz w:val="24"/>
                <w:szCs w:val="24"/>
              </w:rPr>
              <w:t>Wolfscote</w:t>
            </w:r>
            <w:proofErr w:type="spellEnd"/>
            <w:r w:rsidRPr="001A3F9D">
              <w:rPr>
                <w:rFonts w:ascii="Calibri" w:hAnsi="Calibri" w:cs="Arial"/>
                <w:sz w:val="24"/>
                <w:szCs w:val="24"/>
              </w:rPr>
              <w:t xml:space="preserve"> Lane.</w:t>
            </w:r>
          </w:p>
        </w:tc>
      </w:tr>
      <w:tr w:rsidR="00605997" w:rsidRPr="00E563A9" w14:paraId="21BEF902" w14:textId="77777777" w:rsidTr="00605997">
        <w:tc>
          <w:tcPr>
            <w:tcW w:w="2972" w:type="dxa"/>
          </w:tcPr>
          <w:p w14:paraId="411B97A2" w14:textId="77777777" w:rsidR="00605997" w:rsidRPr="001A3F9D" w:rsidRDefault="00605997" w:rsidP="00605997">
            <w:pPr>
              <w:spacing w:line="276" w:lineRule="auto"/>
              <w:contextualSpacing/>
              <w:rPr>
                <w:b/>
                <w:bCs/>
                <w:noProof/>
                <w:sz w:val="24"/>
                <w:szCs w:val="24"/>
              </w:rPr>
            </w:pPr>
            <w:r w:rsidRPr="001A3F9D">
              <w:rPr>
                <w:rFonts w:ascii="Calibri" w:hAnsi="Calibri" w:cs="Arial"/>
                <w:sz w:val="24"/>
                <w:szCs w:val="24"/>
              </w:rPr>
              <w:t>Newton Blossomville CE</w:t>
            </w:r>
          </w:p>
        </w:tc>
        <w:tc>
          <w:tcPr>
            <w:tcW w:w="6917" w:type="dxa"/>
          </w:tcPr>
          <w:p w14:paraId="5A9503C8" w14:textId="77777777" w:rsidR="00605997" w:rsidRPr="00E563A9" w:rsidRDefault="00605997" w:rsidP="00605997">
            <w:pPr>
              <w:spacing w:line="276" w:lineRule="auto"/>
              <w:rPr>
                <w:rFonts w:ascii="Calibri" w:hAnsi="Calibri" w:cs="Arial"/>
                <w:sz w:val="24"/>
                <w:szCs w:val="24"/>
              </w:rPr>
            </w:pPr>
            <w:r w:rsidRPr="001A3F9D">
              <w:rPr>
                <w:rFonts w:ascii="Calibri" w:hAnsi="Calibri" w:cs="Arial"/>
                <w:sz w:val="24"/>
                <w:szCs w:val="24"/>
              </w:rPr>
              <w:t>Newton Blossomville, Cold, Brayfield and surrounding area</w:t>
            </w:r>
            <w:r>
              <w:rPr>
                <w:rFonts w:ascii="Calibri" w:hAnsi="Calibri" w:cs="Arial"/>
                <w:sz w:val="24"/>
                <w:szCs w:val="24"/>
              </w:rPr>
              <w:t xml:space="preserve">.  </w:t>
            </w:r>
            <w:r w:rsidRPr="001A3F9D">
              <w:rPr>
                <w:rFonts w:ascii="Calibri" w:hAnsi="Calibri" w:cs="Arial"/>
                <w:sz w:val="24"/>
                <w:szCs w:val="24"/>
              </w:rPr>
              <w:t xml:space="preserve">Option for children from Clifton </w:t>
            </w:r>
            <w:proofErr w:type="spellStart"/>
            <w:r w:rsidRPr="001A3F9D">
              <w:rPr>
                <w:rFonts w:ascii="Calibri" w:hAnsi="Calibri" w:cs="Arial"/>
                <w:sz w:val="24"/>
                <w:szCs w:val="24"/>
              </w:rPr>
              <w:t>Reynes</w:t>
            </w:r>
            <w:proofErr w:type="spellEnd"/>
            <w:r w:rsidRPr="001A3F9D">
              <w:rPr>
                <w:rFonts w:ascii="Calibri" w:hAnsi="Calibri" w:cs="Arial"/>
                <w:sz w:val="24"/>
                <w:szCs w:val="24"/>
              </w:rPr>
              <w:t xml:space="preserve"> (in preference to Olney Infant Academy)</w:t>
            </w:r>
          </w:p>
        </w:tc>
      </w:tr>
      <w:tr w:rsidR="00605997" w:rsidRPr="001A3F9D" w14:paraId="37B4DD0E" w14:textId="77777777" w:rsidTr="00605997">
        <w:tc>
          <w:tcPr>
            <w:tcW w:w="2972" w:type="dxa"/>
          </w:tcPr>
          <w:p w14:paraId="3663840A" w14:textId="77777777" w:rsidR="00605997" w:rsidRPr="001A3F9D" w:rsidRDefault="00605997" w:rsidP="00605997">
            <w:pPr>
              <w:spacing w:line="276" w:lineRule="auto"/>
              <w:contextualSpacing/>
              <w:rPr>
                <w:b/>
                <w:bCs/>
                <w:noProof/>
                <w:sz w:val="24"/>
                <w:szCs w:val="24"/>
              </w:rPr>
            </w:pPr>
            <w:r w:rsidRPr="001A3F9D">
              <w:rPr>
                <w:rFonts w:ascii="Calibri" w:hAnsi="Calibri" w:cs="Arial"/>
                <w:sz w:val="24"/>
                <w:szCs w:val="24"/>
              </w:rPr>
              <w:t>Newton Leys Primary</w:t>
            </w:r>
          </w:p>
        </w:tc>
        <w:tc>
          <w:tcPr>
            <w:tcW w:w="6917" w:type="dxa"/>
          </w:tcPr>
          <w:p w14:paraId="22CD43F5" w14:textId="77777777" w:rsidR="00605997" w:rsidRPr="001A3F9D" w:rsidRDefault="00605997" w:rsidP="00605997">
            <w:pPr>
              <w:spacing w:line="276" w:lineRule="auto"/>
              <w:contextualSpacing/>
              <w:rPr>
                <w:b/>
                <w:bCs/>
                <w:noProof/>
                <w:sz w:val="24"/>
                <w:szCs w:val="24"/>
              </w:rPr>
            </w:pPr>
            <w:r w:rsidRPr="001A3F9D">
              <w:rPr>
                <w:rFonts w:ascii="Calibri" w:hAnsi="Calibri" w:cs="Arial"/>
                <w:sz w:val="24"/>
                <w:szCs w:val="24"/>
              </w:rPr>
              <w:t>Newton Leys (Milton Keynes)</w:t>
            </w:r>
          </w:p>
        </w:tc>
      </w:tr>
      <w:tr w:rsidR="00605997" w:rsidRPr="001A3F9D" w14:paraId="1DF1659F" w14:textId="77777777" w:rsidTr="00605997">
        <w:tc>
          <w:tcPr>
            <w:tcW w:w="2972" w:type="dxa"/>
          </w:tcPr>
          <w:p w14:paraId="30912DC4" w14:textId="77777777" w:rsidR="00605997" w:rsidRPr="001A3F9D" w:rsidRDefault="00605997" w:rsidP="00605997">
            <w:pPr>
              <w:spacing w:line="276" w:lineRule="auto"/>
              <w:contextualSpacing/>
              <w:rPr>
                <w:b/>
                <w:bCs/>
                <w:noProof/>
                <w:sz w:val="24"/>
                <w:szCs w:val="24"/>
              </w:rPr>
            </w:pPr>
            <w:r w:rsidRPr="001A3F9D">
              <w:rPr>
                <w:rFonts w:ascii="Calibri" w:hAnsi="Calibri" w:cs="Arial"/>
                <w:sz w:val="24"/>
                <w:szCs w:val="24"/>
              </w:rPr>
              <w:t>North Crawley CE</w:t>
            </w:r>
          </w:p>
        </w:tc>
        <w:tc>
          <w:tcPr>
            <w:tcW w:w="6917" w:type="dxa"/>
          </w:tcPr>
          <w:p w14:paraId="4C957D36" w14:textId="77777777" w:rsidR="00605997" w:rsidRPr="001A3F9D" w:rsidRDefault="00605997" w:rsidP="00605997">
            <w:pPr>
              <w:spacing w:line="276" w:lineRule="auto"/>
              <w:contextualSpacing/>
              <w:rPr>
                <w:b/>
                <w:bCs/>
                <w:noProof/>
                <w:sz w:val="24"/>
                <w:szCs w:val="24"/>
              </w:rPr>
            </w:pPr>
            <w:r w:rsidRPr="001A3F9D">
              <w:rPr>
                <w:rFonts w:ascii="Calibri" w:hAnsi="Calibri" w:cs="Arial"/>
                <w:sz w:val="24"/>
                <w:szCs w:val="24"/>
              </w:rPr>
              <w:t>North Crawley and Little Crawley</w:t>
            </w:r>
          </w:p>
        </w:tc>
      </w:tr>
      <w:tr w:rsidR="00605997" w:rsidRPr="00CD7CDA" w14:paraId="70691618" w14:textId="77777777" w:rsidTr="00605997">
        <w:tc>
          <w:tcPr>
            <w:tcW w:w="2972" w:type="dxa"/>
          </w:tcPr>
          <w:p w14:paraId="50D458E8" w14:textId="77777777" w:rsidR="00605997" w:rsidRPr="001A3F9D" w:rsidRDefault="00605997" w:rsidP="00605997">
            <w:pPr>
              <w:spacing w:line="276" w:lineRule="auto"/>
              <w:contextualSpacing/>
              <w:rPr>
                <w:b/>
                <w:bCs/>
                <w:noProof/>
                <w:sz w:val="24"/>
                <w:szCs w:val="24"/>
              </w:rPr>
            </w:pPr>
            <w:r w:rsidRPr="001A3F9D">
              <w:rPr>
                <w:rFonts w:ascii="Calibri" w:hAnsi="Calibri" w:cs="Arial"/>
                <w:sz w:val="24"/>
                <w:szCs w:val="24"/>
              </w:rPr>
              <w:t>Oldbrook First</w:t>
            </w:r>
          </w:p>
        </w:tc>
        <w:tc>
          <w:tcPr>
            <w:tcW w:w="6917" w:type="dxa"/>
          </w:tcPr>
          <w:p w14:paraId="7D639571" w14:textId="77777777" w:rsidR="00605997" w:rsidRPr="00CD7CDA" w:rsidRDefault="00605997" w:rsidP="00605997">
            <w:pPr>
              <w:spacing w:line="276" w:lineRule="auto"/>
              <w:rPr>
                <w:rFonts w:ascii="Calibri" w:hAnsi="Calibri" w:cs="Arial"/>
                <w:sz w:val="24"/>
                <w:szCs w:val="24"/>
              </w:rPr>
            </w:pPr>
            <w:r w:rsidRPr="001A3F9D">
              <w:rPr>
                <w:rFonts w:ascii="Calibri" w:hAnsi="Calibri" w:cs="Arial"/>
                <w:sz w:val="24"/>
                <w:szCs w:val="24"/>
              </w:rPr>
              <w:t xml:space="preserve">The Hub and the </w:t>
            </w:r>
            <w:proofErr w:type="gramStart"/>
            <w:r w:rsidRPr="001A3F9D">
              <w:rPr>
                <w:rFonts w:ascii="Calibri" w:hAnsi="Calibri" w:cs="Arial"/>
                <w:sz w:val="24"/>
                <w:szCs w:val="24"/>
              </w:rPr>
              <w:t>south west</w:t>
            </w:r>
            <w:proofErr w:type="gramEnd"/>
            <w:r w:rsidRPr="001A3F9D">
              <w:rPr>
                <w:rFonts w:ascii="Calibri" w:hAnsi="Calibri" w:cs="Arial"/>
                <w:sz w:val="24"/>
                <w:szCs w:val="24"/>
              </w:rPr>
              <w:t xml:space="preserve"> part of Oldbrook as follows:</w:t>
            </w:r>
            <w:r>
              <w:rPr>
                <w:rFonts w:ascii="Calibri" w:hAnsi="Calibri" w:cs="Arial"/>
                <w:sz w:val="24"/>
                <w:szCs w:val="24"/>
              </w:rPr>
              <w:t xml:space="preserve">  </w:t>
            </w:r>
            <w:r w:rsidRPr="001A3F9D">
              <w:rPr>
                <w:rFonts w:ascii="Calibri" w:hAnsi="Calibri" w:cs="Arial"/>
                <w:sz w:val="24"/>
                <w:szCs w:val="24"/>
              </w:rPr>
              <w:t xml:space="preserve">Shackleton Place (odd numbers), Trueman Place (even numbers), Sutcliffe Avenue (up to number 37), Boycott Avenue (up to number 44), Hutton Avenue (up to number 3), Oldbrook Boulevard (up to number 177), Dexter Avenue (up to number 15), </w:t>
            </w:r>
            <w:proofErr w:type="spellStart"/>
            <w:r w:rsidRPr="001A3F9D">
              <w:rPr>
                <w:rFonts w:ascii="Calibri" w:hAnsi="Calibri" w:cs="Arial"/>
                <w:sz w:val="24"/>
                <w:szCs w:val="24"/>
              </w:rPr>
              <w:t>Edrich</w:t>
            </w:r>
            <w:proofErr w:type="spellEnd"/>
            <w:r w:rsidRPr="001A3F9D">
              <w:rPr>
                <w:rFonts w:ascii="Calibri" w:hAnsi="Calibri" w:cs="Arial"/>
                <w:sz w:val="24"/>
                <w:szCs w:val="24"/>
              </w:rPr>
              <w:t xml:space="preserve"> Avenue (up to number 8), The Boundary (odd numbers 89 upwards and even numbers 68 upwards)</w:t>
            </w:r>
          </w:p>
        </w:tc>
      </w:tr>
      <w:tr w:rsidR="00605997" w:rsidRPr="00CD7CDA" w14:paraId="13E29F8A" w14:textId="77777777" w:rsidTr="00605997">
        <w:tc>
          <w:tcPr>
            <w:tcW w:w="2972" w:type="dxa"/>
          </w:tcPr>
          <w:p w14:paraId="4F3D6795" w14:textId="1B30E2DD" w:rsidR="00605997" w:rsidRPr="001A3F9D" w:rsidRDefault="00605997" w:rsidP="00605997">
            <w:pPr>
              <w:spacing w:line="276" w:lineRule="auto"/>
              <w:contextualSpacing/>
              <w:rPr>
                <w:rFonts w:ascii="Calibri" w:hAnsi="Calibri" w:cs="Arial"/>
                <w:sz w:val="24"/>
                <w:szCs w:val="24"/>
              </w:rPr>
            </w:pPr>
            <w:r w:rsidRPr="006F124D">
              <w:rPr>
                <w:rFonts w:ascii="Calibri" w:hAnsi="Calibri" w:cs="Arial"/>
                <w:sz w:val="24"/>
                <w:szCs w:val="24"/>
              </w:rPr>
              <w:t>Pepper Hill</w:t>
            </w:r>
          </w:p>
        </w:tc>
        <w:tc>
          <w:tcPr>
            <w:tcW w:w="6917" w:type="dxa"/>
          </w:tcPr>
          <w:p w14:paraId="01BB9227" w14:textId="3D7BF128" w:rsidR="00605997" w:rsidRPr="001A3F9D" w:rsidRDefault="00605997" w:rsidP="00605997">
            <w:pPr>
              <w:spacing w:line="276" w:lineRule="auto"/>
              <w:rPr>
                <w:rFonts w:ascii="Calibri" w:hAnsi="Calibri" w:cs="Arial"/>
                <w:sz w:val="24"/>
                <w:szCs w:val="24"/>
              </w:rPr>
            </w:pPr>
            <w:r w:rsidRPr="006F124D">
              <w:rPr>
                <w:rFonts w:ascii="Calibri" w:hAnsi="Calibri" w:cs="Arial"/>
                <w:sz w:val="24"/>
                <w:szCs w:val="24"/>
              </w:rPr>
              <w:t xml:space="preserve">Bradville, Townsend Grove, Bertram Close, Chipperfield Close and the following roads on Bancroft: </w:t>
            </w:r>
            <w:proofErr w:type="spellStart"/>
            <w:r w:rsidRPr="006F124D">
              <w:rPr>
                <w:rFonts w:ascii="Calibri" w:hAnsi="Calibri" w:cs="Arial"/>
                <w:sz w:val="24"/>
                <w:szCs w:val="24"/>
              </w:rPr>
              <w:t>Broomlee</w:t>
            </w:r>
            <w:proofErr w:type="spellEnd"/>
            <w:r w:rsidRPr="006F124D">
              <w:rPr>
                <w:rFonts w:ascii="Calibri" w:hAnsi="Calibri" w:cs="Arial"/>
                <w:sz w:val="24"/>
                <w:szCs w:val="24"/>
              </w:rPr>
              <w:t xml:space="preserve">, </w:t>
            </w:r>
            <w:proofErr w:type="spellStart"/>
            <w:r w:rsidRPr="006F124D">
              <w:rPr>
                <w:rFonts w:ascii="Calibri" w:hAnsi="Calibri" w:cs="Arial"/>
                <w:sz w:val="24"/>
                <w:szCs w:val="24"/>
              </w:rPr>
              <w:t>Grassington</w:t>
            </w:r>
            <w:proofErr w:type="spellEnd"/>
            <w:r w:rsidRPr="006F124D">
              <w:rPr>
                <w:rFonts w:ascii="Calibri" w:hAnsi="Calibri" w:cs="Arial"/>
                <w:sz w:val="24"/>
                <w:szCs w:val="24"/>
              </w:rPr>
              <w:t xml:space="preserve">, </w:t>
            </w:r>
            <w:proofErr w:type="spellStart"/>
            <w:r w:rsidRPr="006F124D">
              <w:rPr>
                <w:rFonts w:ascii="Calibri" w:hAnsi="Calibri" w:cs="Arial"/>
                <w:sz w:val="24"/>
                <w:szCs w:val="24"/>
              </w:rPr>
              <w:t>Greatchesters</w:t>
            </w:r>
            <w:proofErr w:type="spellEnd"/>
            <w:r w:rsidRPr="006F124D">
              <w:rPr>
                <w:rFonts w:ascii="Calibri" w:hAnsi="Calibri" w:cs="Arial"/>
                <w:sz w:val="24"/>
                <w:szCs w:val="24"/>
              </w:rPr>
              <w:t xml:space="preserve">, </w:t>
            </w:r>
            <w:proofErr w:type="spellStart"/>
            <w:r w:rsidRPr="006F124D">
              <w:rPr>
                <w:rFonts w:ascii="Calibri" w:hAnsi="Calibri" w:cs="Arial"/>
                <w:sz w:val="24"/>
                <w:szCs w:val="24"/>
              </w:rPr>
              <w:t>Hadrians</w:t>
            </w:r>
            <w:proofErr w:type="spellEnd"/>
            <w:r w:rsidRPr="006F124D">
              <w:rPr>
                <w:rFonts w:ascii="Calibri" w:hAnsi="Calibri" w:cs="Arial"/>
                <w:sz w:val="24"/>
                <w:szCs w:val="24"/>
              </w:rPr>
              <w:t xml:space="preserve"> Drive (evens 32-76 only), </w:t>
            </w:r>
            <w:proofErr w:type="spellStart"/>
            <w:r w:rsidRPr="006F124D">
              <w:rPr>
                <w:rFonts w:ascii="Calibri" w:hAnsi="Calibri" w:cs="Arial"/>
                <w:sz w:val="24"/>
                <w:szCs w:val="24"/>
              </w:rPr>
              <w:t>Haltonchesters</w:t>
            </w:r>
            <w:proofErr w:type="spellEnd"/>
            <w:r w:rsidRPr="006F124D">
              <w:rPr>
                <w:rFonts w:ascii="Calibri" w:hAnsi="Calibri" w:cs="Arial"/>
                <w:sz w:val="24"/>
                <w:szCs w:val="24"/>
              </w:rPr>
              <w:t xml:space="preserve">, </w:t>
            </w:r>
            <w:proofErr w:type="spellStart"/>
            <w:r w:rsidRPr="006F124D">
              <w:rPr>
                <w:rFonts w:ascii="Calibri" w:hAnsi="Calibri" w:cs="Arial"/>
                <w:sz w:val="24"/>
                <w:szCs w:val="24"/>
              </w:rPr>
              <w:t>Richborough</w:t>
            </w:r>
            <w:proofErr w:type="spellEnd"/>
            <w:r w:rsidRPr="006F124D">
              <w:rPr>
                <w:rFonts w:ascii="Calibri" w:hAnsi="Calibri" w:cs="Arial"/>
                <w:sz w:val="24"/>
                <w:szCs w:val="24"/>
              </w:rPr>
              <w:t xml:space="preserve"> and Stonegate</w:t>
            </w:r>
          </w:p>
        </w:tc>
      </w:tr>
      <w:tr w:rsidR="00605997" w:rsidRPr="00CD7CDA" w14:paraId="106D3888" w14:textId="77777777" w:rsidTr="00605997">
        <w:tc>
          <w:tcPr>
            <w:tcW w:w="2972" w:type="dxa"/>
          </w:tcPr>
          <w:p w14:paraId="084DE2E3" w14:textId="56DF6033" w:rsidR="00605997" w:rsidRPr="001A3F9D" w:rsidRDefault="00605997" w:rsidP="00605997">
            <w:pPr>
              <w:spacing w:line="276" w:lineRule="auto"/>
              <w:contextualSpacing/>
              <w:rPr>
                <w:rFonts w:ascii="Calibri" w:hAnsi="Calibri" w:cs="Arial"/>
                <w:sz w:val="24"/>
                <w:szCs w:val="24"/>
              </w:rPr>
            </w:pPr>
            <w:r w:rsidRPr="006F124D">
              <w:rPr>
                <w:rFonts w:ascii="Calibri" w:hAnsi="Calibri" w:cs="Arial"/>
                <w:sz w:val="24"/>
                <w:szCs w:val="24"/>
              </w:rPr>
              <w:t>Priory Common</w:t>
            </w:r>
          </w:p>
        </w:tc>
        <w:tc>
          <w:tcPr>
            <w:tcW w:w="6917" w:type="dxa"/>
          </w:tcPr>
          <w:p w14:paraId="2F05E69F" w14:textId="527A681B" w:rsidR="00605997" w:rsidRPr="001A3F9D" w:rsidRDefault="00605997" w:rsidP="00605997">
            <w:pPr>
              <w:spacing w:line="276" w:lineRule="auto"/>
              <w:rPr>
                <w:rFonts w:ascii="Calibri" w:hAnsi="Calibri" w:cs="Arial"/>
                <w:sz w:val="24"/>
                <w:szCs w:val="24"/>
              </w:rPr>
            </w:pPr>
            <w:r w:rsidRPr="006F124D">
              <w:rPr>
                <w:rFonts w:ascii="Calibri" w:hAnsi="Calibri" w:cs="Arial"/>
                <w:sz w:val="24"/>
                <w:szCs w:val="24"/>
              </w:rPr>
              <w:t xml:space="preserve">Bradwell Village and the following roads on Bancroft: </w:t>
            </w:r>
            <w:proofErr w:type="spellStart"/>
            <w:r w:rsidRPr="006F124D">
              <w:rPr>
                <w:rFonts w:ascii="Calibri" w:hAnsi="Calibri" w:cs="Arial"/>
                <w:sz w:val="24"/>
                <w:szCs w:val="24"/>
              </w:rPr>
              <w:t>Benwell</w:t>
            </w:r>
            <w:proofErr w:type="spellEnd"/>
            <w:r w:rsidRPr="006F124D">
              <w:rPr>
                <w:rFonts w:ascii="Calibri" w:hAnsi="Calibri" w:cs="Arial"/>
                <w:sz w:val="24"/>
                <w:szCs w:val="24"/>
              </w:rPr>
              <w:t xml:space="preserve"> Close, </w:t>
            </w:r>
            <w:proofErr w:type="spellStart"/>
            <w:r w:rsidRPr="006F124D">
              <w:rPr>
                <w:rFonts w:ascii="Calibri" w:hAnsi="Calibri" w:cs="Arial"/>
                <w:sz w:val="24"/>
                <w:szCs w:val="24"/>
              </w:rPr>
              <w:t>Castlesteads</w:t>
            </w:r>
            <w:proofErr w:type="spellEnd"/>
            <w:r w:rsidRPr="006F124D">
              <w:rPr>
                <w:rFonts w:ascii="Calibri" w:hAnsi="Calibri" w:cs="Arial"/>
                <w:sz w:val="24"/>
                <w:szCs w:val="24"/>
              </w:rPr>
              <w:t xml:space="preserve">, Caesars Close, </w:t>
            </w:r>
            <w:proofErr w:type="spellStart"/>
            <w:r w:rsidRPr="006F124D">
              <w:rPr>
                <w:rFonts w:ascii="Calibri" w:hAnsi="Calibri" w:cs="Arial"/>
                <w:sz w:val="24"/>
                <w:szCs w:val="24"/>
              </w:rPr>
              <w:t>Chesterholm</w:t>
            </w:r>
            <w:proofErr w:type="spellEnd"/>
            <w:r w:rsidRPr="006F124D">
              <w:rPr>
                <w:rFonts w:ascii="Calibri" w:hAnsi="Calibri" w:cs="Arial"/>
                <w:sz w:val="24"/>
                <w:szCs w:val="24"/>
              </w:rPr>
              <w:t xml:space="preserve">, </w:t>
            </w:r>
            <w:proofErr w:type="spellStart"/>
            <w:r w:rsidRPr="006F124D">
              <w:rPr>
                <w:rFonts w:ascii="Calibri" w:hAnsi="Calibri" w:cs="Arial"/>
                <w:sz w:val="24"/>
                <w:szCs w:val="24"/>
              </w:rPr>
              <w:t>Hadrians</w:t>
            </w:r>
            <w:proofErr w:type="spellEnd"/>
            <w:r w:rsidRPr="006F124D">
              <w:rPr>
                <w:rFonts w:ascii="Calibri" w:hAnsi="Calibri" w:cs="Arial"/>
                <w:sz w:val="24"/>
                <w:szCs w:val="24"/>
              </w:rPr>
              <w:t xml:space="preserve"> Drive (odds 1-27 and evens 2-30), Kenchester, Milecastle, Octavian Way and </w:t>
            </w:r>
            <w:proofErr w:type="spellStart"/>
            <w:r w:rsidRPr="006F124D">
              <w:rPr>
                <w:rFonts w:ascii="Calibri" w:hAnsi="Calibri" w:cs="Arial"/>
                <w:sz w:val="24"/>
                <w:szCs w:val="24"/>
              </w:rPr>
              <w:t>Rudchesters</w:t>
            </w:r>
            <w:proofErr w:type="spellEnd"/>
          </w:p>
        </w:tc>
      </w:tr>
      <w:tr w:rsidR="00605997" w:rsidRPr="00CD7CDA" w14:paraId="4E8C8369" w14:textId="77777777" w:rsidTr="00605997">
        <w:tc>
          <w:tcPr>
            <w:tcW w:w="2972" w:type="dxa"/>
          </w:tcPr>
          <w:p w14:paraId="4F94DD4B" w14:textId="3CF8BD02" w:rsidR="00605997" w:rsidRPr="001A3F9D" w:rsidRDefault="00605997" w:rsidP="00605997">
            <w:pPr>
              <w:spacing w:line="276" w:lineRule="auto"/>
              <w:contextualSpacing/>
              <w:rPr>
                <w:rFonts w:ascii="Calibri" w:hAnsi="Calibri" w:cs="Arial"/>
                <w:sz w:val="24"/>
                <w:szCs w:val="24"/>
              </w:rPr>
            </w:pPr>
            <w:r w:rsidRPr="006F124D">
              <w:rPr>
                <w:rFonts w:ascii="Calibri" w:hAnsi="Calibri" w:cs="Arial"/>
                <w:sz w:val="24"/>
                <w:szCs w:val="24"/>
              </w:rPr>
              <w:t>Russell Street</w:t>
            </w:r>
          </w:p>
        </w:tc>
        <w:tc>
          <w:tcPr>
            <w:tcW w:w="6917" w:type="dxa"/>
          </w:tcPr>
          <w:p w14:paraId="1CFA6F4C" w14:textId="2D77D077" w:rsidR="00605997" w:rsidRPr="001A3F9D" w:rsidRDefault="00605997" w:rsidP="00605997">
            <w:pPr>
              <w:spacing w:line="276" w:lineRule="auto"/>
              <w:rPr>
                <w:rFonts w:ascii="Calibri" w:hAnsi="Calibri" w:cs="Arial"/>
                <w:sz w:val="24"/>
                <w:szCs w:val="24"/>
              </w:rPr>
            </w:pPr>
            <w:r w:rsidRPr="006F124D">
              <w:rPr>
                <w:rFonts w:ascii="Calibri" w:hAnsi="Calibri" w:cs="Arial"/>
                <w:sz w:val="24"/>
                <w:szCs w:val="24"/>
              </w:rPr>
              <w:t xml:space="preserve">The western side of Stony Stratford bounded by and including Calverton Road (odd numbers to 33 and all even numbers), Park Road, London Road (as far as the allotments), Malletts Close and the village of Calverton. </w:t>
            </w:r>
          </w:p>
        </w:tc>
      </w:tr>
      <w:tr w:rsidR="00605997" w:rsidRPr="00CD7CDA" w14:paraId="698113A3" w14:textId="77777777" w:rsidTr="00605997">
        <w:tc>
          <w:tcPr>
            <w:tcW w:w="2972" w:type="dxa"/>
          </w:tcPr>
          <w:p w14:paraId="64B062A3" w14:textId="68853DCB" w:rsidR="00605997" w:rsidRPr="001A3F9D" w:rsidRDefault="00605997" w:rsidP="00605997">
            <w:pPr>
              <w:spacing w:line="276" w:lineRule="auto"/>
              <w:contextualSpacing/>
              <w:rPr>
                <w:rFonts w:ascii="Calibri" w:hAnsi="Calibri" w:cs="Arial"/>
                <w:sz w:val="24"/>
                <w:szCs w:val="24"/>
              </w:rPr>
            </w:pPr>
            <w:r w:rsidRPr="006F124D">
              <w:rPr>
                <w:rFonts w:ascii="Calibri" w:hAnsi="Calibri" w:cs="Arial"/>
                <w:sz w:val="24"/>
                <w:szCs w:val="24"/>
              </w:rPr>
              <w:t>Sherington CE</w:t>
            </w:r>
          </w:p>
        </w:tc>
        <w:tc>
          <w:tcPr>
            <w:tcW w:w="6917" w:type="dxa"/>
          </w:tcPr>
          <w:p w14:paraId="5DC4FF40" w14:textId="5AA08968" w:rsidR="00605997" w:rsidRPr="001A3F9D" w:rsidRDefault="00605997" w:rsidP="00605997">
            <w:pPr>
              <w:spacing w:line="276" w:lineRule="auto"/>
              <w:rPr>
                <w:rFonts w:ascii="Calibri" w:hAnsi="Calibri" w:cs="Arial"/>
                <w:sz w:val="24"/>
                <w:szCs w:val="24"/>
              </w:rPr>
            </w:pPr>
            <w:r w:rsidRPr="006F124D">
              <w:rPr>
                <w:rFonts w:ascii="Calibri" w:hAnsi="Calibri" w:cs="Arial"/>
                <w:sz w:val="24"/>
                <w:szCs w:val="24"/>
              </w:rPr>
              <w:t>Sherington Village.</w:t>
            </w:r>
          </w:p>
        </w:tc>
      </w:tr>
      <w:tr w:rsidR="00605997" w:rsidRPr="00CD7CDA" w14:paraId="20D8E0DC" w14:textId="77777777" w:rsidTr="00605997">
        <w:tc>
          <w:tcPr>
            <w:tcW w:w="2972" w:type="dxa"/>
          </w:tcPr>
          <w:p w14:paraId="4C8FB6D5" w14:textId="5BC453DD" w:rsidR="00605997" w:rsidRPr="001A3F9D" w:rsidRDefault="00605997" w:rsidP="00605997">
            <w:pPr>
              <w:spacing w:line="276" w:lineRule="auto"/>
              <w:contextualSpacing/>
              <w:rPr>
                <w:rFonts w:ascii="Calibri" w:hAnsi="Calibri" w:cs="Arial"/>
                <w:sz w:val="24"/>
                <w:szCs w:val="24"/>
              </w:rPr>
            </w:pPr>
            <w:r w:rsidRPr="006F124D">
              <w:rPr>
                <w:rFonts w:ascii="Calibri" w:hAnsi="Calibri" w:cs="Arial"/>
                <w:sz w:val="24"/>
                <w:szCs w:val="24"/>
              </w:rPr>
              <w:t>St Andrew’s CE Infant</w:t>
            </w:r>
          </w:p>
        </w:tc>
        <w:tc>
          <w:tcPr>
            <w:tcW w:w="6917" w:type="dxa"/>
          </w:tcPr>
          <w:p w14:paraId="15D23382" w14:textId="77777777" w:rsidR="00605997" w:rsidRPr="006F124D" w:rsidRDefault="00605997" w:rsidP="00605997">
            <w:pPr>
              <w:spacing w:line="276" w:lineRule="auto"/>
              <w:rPr>
                <w:rFonts w:ascii="Calibri" w:hAnsi="Calibri" w:cs="Arial"/>
                <w:sz w:val="24"/>
                <w:szCs w:val="24"/>
              </w:rPr>
            </w:pPr>
            <w:r w:rsidRPr="006F124D">
              <w:rPr>
                <w:rFonts w:ascii="Calibri" w:hAnsi="Calibri" w:cs="Arial"/>
                <w:sz w:val="24"/>
                <w:szCs w:val="24"/>
              </w:rPr>
              <w:t>Great Linford, Great Linford Village and the following roads on Stantonbury:</w:t>
            </w:r>
          </w:p>
          <w:p w14:paraId="4065EA43" w14:textId="3C0EBD1F" w:rsidR="00605997" w:rsidRPr="001A3F9D" w:rsidRDefault="00605997" w:rsidP="00605997">
            <w:pPr>
              <w:spacing w:line="276" w:lineRule="auto"/>
              <w:rPr>
                <w:rFonts w:ascii="Calibri" w:hAnsi="Calibri" w:cs="Arial"/>
                <w:sz w:val="24"/>
                <w:szCs w:val="24"/>
              </w:rPr>
            </w:pPr>
            <w:r w:rsidRPr="006F124D">
              <w:rPr>
                <w:rFonts w:ascii="Calibri" w:hAnsi="Calibri" w:cs="Arial"/>
                <w:sz w:val="24"/>
                <w:szCs w:val="24"/>
              </w:rPr>
              <w:t xml:space="preserve">Jacobs Close, Redbridge (even numbers 68 upwards), </w:t>
            </w:r>
            <w:proofErr w:type="spellStart"/>
            <w:r w:rsidRPr="006F124D">
              <w:rPr>
                <w:rFonts w:ascii="Calibri" w:hAnsi="Calibri" w:cs="Arial"/>
                <w:sz w:val="24"/>
                <w:szCs w:val="24"/>
              </w:rPr>
              <w:t>Walshs</w:t>
            </w:r>
            <w:proofErr w:type="spellEnd"/>
            <w:r w:rsidRPr="006F124D">
              <w:rPr>
                <w:rFonts w:ascii="Calibri" w:hAnsi="Calibri" w:cs="Arial"/>
                <w:sz w:val="24"/>
                <w:szCs w:val="24"/>
              </w:rPr>
              <w:t xml:space="preserve"> Manor (odd numbers 71 upwards), </w:t>
            </w:r>
            <w:proofErr w:type="spellStart"/>
            <w:r w:rsidRPr="006F124D">
              <w:rPr>
                <w:rFonts w:ascii="Calibri" w:hAnsi="Calibri" w:cs="Arial"/>
                <w:sz w:val="24"/>
                <w:szCs w:val="24"/>
              </w:rPr>
              <w:t>Ormonde</w:t>
            </w:r>
            <w:proofErr w:type="spellEnd"/>
            <w:r w:rsidRPr="006F124D">
              <w:rPr>
                <w:rFonts w:ascii="Calibri" w:hAnsi="Calibri" w:cs="Arial"/>
                <w:sz w:val="24"/>
                <w:szCs w:val="24"/>
              </w:rPr>
              <w:t>, Rossendale, Rowle Close, Crosslands (even numbers 86 upwards and odd numbers 101 upwards)</w:t>
            </w:r>
          </w:p>
        </w:tc>
      </w:tr>
      <w:tr w:rsidR="00605997" w:rsidRPr="00CD7CDA" w14:paraId="1C1A473C" w14:textId="77777777" w:rsidTr="00605997">
        <w:tc>
          <w:tcPr>
            <w:tcW w:w="2972" w:type="dxa"/>
          </w:tcPr>
          <w:p w14:paraId="63FD6C1A" w14:textId="4C9735B4" w:rsidR="00605997" w:rsidRPr="001A3F9D" w:rsidRDefault="00605997" w:rsidP="00605997">
            <w:pPr>
              <w:spacing w:line="276" w:lineRule="auto"/>
              <w:contextualSpacing/>
              <w:rPr>
                <w:rFonts w:ascii="Calibri" w:hAnsi="Calibri" w:cs="Arial"/>
                <w:sz w:val="24"/>
                <w:szCs w:val="24"/>
              </w:rPr>
            </w:pPr>
            <w:r w:rsidRPr="006F124D">
              <w:rPr>
                <w:rFonts w:ascii="Calibri" w:hAnsi="Calibri" w:cs="Arial"/>
                <w:sz w:val="24"/>
                <w:szCs w:val="24"/>
              </w:rPr>
              <w:t>St Mary’s Wavendon CofE Primary</w:t>
            </w:r>
          </w:p>
        </w:tc>
        <w:tc>
          <w:tcPr>
            <w:tcW w:w="6917" w:type="dxa"/>
          </w:tcPr>
          <w:p w14:paraId="0C29010F" w14:textId="5FF40791" w:rsidR="00605997" w:rsidRPr="001A3F9D" w:rsidRDefault="00605997" w:rsidP="00605997">
            <w:pPr>
              <w:spacing w:line="276" w:lineRule="auto"/>
              <w:rPr>
                <w:rFonts w:ascii="Calibri" w:hAnsi="Calibri" w:cs="Arial"/>
                <w:sz w:val="24"/>
                <w:szCs w:val="24"/>
              </w:rPr>
            </w:pPr>
            <w:r w:rsidRPr="006F124D">
              <w:rPr>
                <w:rFonts w:ascii="Calibri" w:hAnsi="Calibri" w:cs="Arial"/>
                <w:sz w:val="24"/>
                <w:szCs w:val="24"/>
              </w:rPr>
              <w:t>Wavendon Village, Woburn Sands and the new housing development at Eagle Farm</w:t>
            </w:r>
          </w:p>
        </w:tc>
      </w:tr>
      <w:tr w:rsidR="00605997" w:rsidRPr="00CD7CDA" w14:paraId="6629AE57" w14:textId="77777777" w:rsidTr="00605997">
        <w:tc>
          <w:tcPr>
            <w:tcW w:w="2972" w:type="dxa"/>
          </w:tcPr>
          <w:p w14:paraId="6EE49BB5" w14:textId="2FD32E6D" w:rsidR="00605997" w:rsidRPr="001A3F9D" w:rsidRDefault="00605997" w:rsidP="00605997">
            <w:pPr>
              <w:spacing w:line="276" w:lineRule="auto"/>
              <w:contextualSpacing/>
              <w:rPr>
                <w:rFonts w:ascii="Calibri" w:hAnsi="Calibri" w:cs="Arial"/>
                <w:sz w:val="24"/>
                <w:szCs w:val="24"/>
              </w:rPr>
            </w:pPr>
            <w:r w:rsidRPr="006F124D">
              <w:rPr>
                <w:rFonts w:ascii="Calibri" w:hAnsi="Calibri" w:cs="Arial"/>
                <w:sz w:val="24"/>
                <w:szCs w:val="24"/>
              </w:rPr>
              <w:t>Stoke Goldington CE First</w:t>
            </w:r>
          </w:p>
        </w:tc>
        <w:tc>
          <w:tcPr>
            <w:tcW w:w="6917" w:type="dxa"/>
          </w:tcPr>
          <w:p w14:paraId="53365362" w14:textId="53A8E2E3" w:rsidR="00605997" w:rsidRPr="001A3F9D" w:rsidRDefault="00605997" w:rsidP="00605997">
            <w:pPr>
              <w:spacing w:line="276" w:lineRule="auto"/>
              <w:rPr>
                <w:rFonts w:ascii="Calibri" w:hAnsi="Calibri" w:cs="Arial"/>
                <w:sz w:val="24"/>
                <w:szCs w:val="24"/>
              </w:rPr>
            </w:pPr>
            <w:proofErr w:type="spellStart"/>
            <w:r w:rsidRPr="006F124D">
              <w:rPr>
                <w:rFonts w:ascii="Calibri" w:hAnsi="Calibri" w:cs="Arial"/>
                <w:sz w:val="24"/>
                <w:szCs w:val="24"/>
              </w:rPr>
              <w:t>Gayhurst</w:t>
            </w:r>
            <w:proofErr w:type="spellEnd"/>
            <w:r w:rsidRPr="006F124D">
              <w:rPr>
                <w:rFonts w:ascii="Calibri" w:hAnsi="Calibri" w:cs="Arial"/>
                <w:sz w:val="24"/>
                <w:szCs w:val="24"/>
              </w:rPr>
              <w:t xml:space="preserve"> and Stoke Goldington</w:t>
            </w:r>
          </w:p>
        </w:tc>
      </w:tr>
    </w:tbl>
    <w:p w14:paraId="76F47E5C" w14:textId="77777777" w:rsidR="00605997" w:rsidRDefault="00605997">
      <w:r>
        <w:br w:type="page"/>
      </w:r>
    </w:p>
    <w:tbl>
      <w:tblPr>
        <w:tblStyle w:val="TableGrid"/>
        <w:tblW w:w="0" w:type="auto"/>
        <w:tblInd w:w="567" w:type="dxa"/>
        <w:tblLook w:val="04A0" w:firstRow="1" w:lastRow="0" w:firstColumn="1" w:lastColumn="0" w:noHBand="0" w:noVBand="1"/>
      </w:tblPr>
      <w:tblGrid>
        <w:gridCol w:w="2972"/>
        <w:gridCol w:w="6917"/>
      </w:tblGrid>
      <w:tr w:rsidR="0017311D" w:rsidRPr="00CD7CDA" w14:paraId="21C71DF8" w14:textId="77777777" w:rsidTr="00605997">
        <w:tc>
          <w:tcPr>
            <w:tcW w:w="2972" w:type="dxa"/>
          </w:tcPr>
          <w:p w14:paraId="23920DC2" w14:textId="40DAC968" w:rsidR="0017311D" w:rsidRPr="006F124D" w:rsidRDefault="0017311D" w:rsidP="0017311D">
            <w:pPr>
              <w:spacing w:line="276" w:lineRule="auto"/>
              <w:contextualSpacing/>
              <w:rPr>
                <w:rFonts w:ascii="Calibri" w:hAnsi="Calibri" w:cs="Arial"/>
                <w:sz w:val="24"/>
                <w:szCs w:val="24"/>
              </w:rPr>
            </w:pPr>
            <w:r w:rsidRPr="00634FC5">
              <w:rPr>
                <w:b/>
                <w:bCs/>
                <w:color w:val="000000" w:themeColor="text1"/>
                <w:sz w:val="24"/>
                <w:szCs w:val="24"/>
              </w:rPr>
              <w:lastRenderedPageBreak/>
              <w:t>School</w:t>
            </w:r>
          </w:p>
        </w:tc>
        <w:tc>
          <w:tcPr>
            <w:tcW w:w="6917" w:type="dxa"/>
          </w:tcPr>
          <w:p w14:paraId="352684F3" w14:textId="246D7200" w:rsidR="0017311D" w:rsidRPr="006F124D" w:rsidRDefault="0017311D" w:rsidP="0017311D">
            <w:pPr>
              <w:spacing w:line="276" w:lineRule="auto"/>
              <w:rPr>
                <w:rFonts w:ascii="Calibri" w:hAnsi="Calibri" w:cs="Arial"/>
                <w:sz w:val="24"/>
                <w:szCs w:val="24"/>
              </w:rPr>
            </w:pPr>
            <w:r w:rsidRPr="00634FC5">
              <w:rPr>
                <w:b/>
                <w:bCs/>
                <w:color w:val="000000" w:themeColor="text1"/>
                <w:sz w:val="24"/>
                <w:szCs w:val="24"/>
              </w:rPr>
              <w:t>Catchment area</w:t>
            </w:r>
          </w:p>
        </w:tc>
      </w:tr>
      <w:tr w:rsidR="0017311D" w:rsidRPr="00CD7CDA" w14:paraId="4225F83D" w14:textId="77777777" w:rsidTr="00605997">
        <w:tc>
          <w:tcPr>
            <w:tcW w:w="2972" w:type="dxa"/>
          </w:tcPr>
          <w:p w14:paraId="43A03021" w14:textId="6A09043D" w:rsidR="0017311D" w:rsidRPr="001A3F9D" w:rsidRDefault="0017311D" w:rsidP="0017311D">
            <w:pPr>
              <w:spacing w:line="276" w:lineRule="auto"/>
              <w:contextualSpacing/>
              <w:rPr>
                <w:rFonts w:ascii="Calibri" w:hAnsi="Calibri" w:cs="Arial"/>
                <w:sz w:val="24"/>
                <w:szCs w:val="24"/>
              </w:rPr>
            </w:pPr>
            <w:r w:rsidRPr="006F124D">
              <w:rPr>
                <w:rFonts w:ascii="Calibri" w:hAnsi="Calibri" w:cs="Arial"/>
                <w:sz w:val="24"/>
                <w:szCs w:val="24"/>
              </w:rPr>
              <w:t>Summerfield</w:t>
            </w:r>
          </w:p>
        </w:tc>
        <w:tc>
          <w:tcPr>
            <w:tcW w:w="6917" w:type="dxa"/>
          </w:tcPr>
          <w:p w14:paraId="7363439E" w14:textId="700A5187" w:rsidR="0017311D" w:rsidRPr="001A3F9D" w:rsidRDefault="0017311D" w:rsidP="0017311D">
            <w:pPr>
              <w:spacing w:line="276" w:lineRule="auto"/>
              <w:rPr>
                <w:rFonts w:ascii="Calibri" w:hAnsi="Calibri" w:cs="Arial"/>
                <w:sz w:val="24"/>
                <w:szCs w:val="24"/>
              </w:rPr>
            </w:pPr>
            <w:r w:rsidRPr="006F124D">
              <w:rPr>
                <w:rFonts w:ascii="Calibri" w:hAnsi="Calibri" w:cs="Arial"/>
                <w:sz w:val="24"/>
                <w:szCs w:val="24"/>
              </w:rPr>
              <w:t>Bradwell Common</w:t>
            </w:r>
          </w:p>
        </w:tc>
      </w:tr>
      <w:tr w:rsidR="0017311D" w:rsidRPr="00CD7CDA" w14:paraId="23F3DEC1" w14:textId="77777777" w:rsidTr="00605997">
        <w:tc>
          <w:tcPr>
            <w:tcW w:w="2972" w:type="dxa"/>
          </w:tcPr>
          <w:p w14:paraId="13CEC4F0" w14:textId="7A2659AB" w:rsidR="0017311D" w:rsidRPr="001A3F9D" w:rsidRDefault="0017311D" w:rsidP="0017311D">
            <w:pPr>
              <w:spacing w:line="276" w:lineRule="auto"/>
              <w:contextualSpacing/>
              <w:rPr>
                <w:rFonts w:ascii="Calibri" w:hAnsi="Calibri" w:cs="Arial"/>
                <w:sz w:val="24"/>
                <w:szCs w:val="24"/>
              </w:rPr>
            </w:pPr>
            <w:r w:rsidRPr="006F124D">
              <w:rPr>
                <w:rFonts w:ascii="Calibri" w:hAnsi="Calibri" w:cs="Arial"/>
                <w:sz w:val="24"/>
                <w:szCs w:val="24"/>
              </w:rPr>
              <w:t>The Willows School &amp; Early Years Centre</w:t>
            </w:r>
          </w:p>
        </w:tc>
        <w:tc>
          <w:tcPr>
            <w:tcW w:w="6917" w:type="dxa"/>
          </w:tcPr>
          <w:p w14:paraId="7E65D6F1" w14:textId="2C4AF866" w:rsidR="0017311D" w:rsidRPr="001A3F9D" w:rsidRDefault="0017311D" w:rsidP="0017311D">
            <w:pPr>
              <w:spacing w:line="276" w:lineRule="auto"/>
              <w:rPr>
                <w:rFonts w:ascii="Calibri" w:hAnsi="Calibri" w:cs="Arial"/>
                <w:sz w:val="24"/>
                <w:szCs w:val="24"/>
              </w:rPr>
            </w:pPr>
            <w:r w:rsidRPr="006F124D">
              <w:rPr>
                <w:rFonts w:ascii="Calibri" w:hAnsi="Calibri" w:cs="Arial"/>
                <w:sz w:val="24"/>
                <w:szCs w:val="24"/>
              </w:rPr>
              <w:t xml:space="preserve">Fishermead </w:t>
            </w:r>
            <w:proofErr w:type="gramStart"/>
            <w:r w:rsidRPr="006F124D">
              <w:rPr>
                <w:rFonts w:ascii="Calibri" w:hAnsi="Calibri" w:cs="Arial"/>
                <w:sz w:val="24"/>
                <w:szCs w:val="24"/>
              </w:rPr>
              <w:t>north east</w:t>
            </w:r>
            <w:proofErr w:type="gramEnd"/>
            <w:r w:rsidRPr="006F124D">
              <w:rPr>
                <w:rFonts w:ascii="Calibri" w:hAnsi="Calibri" w:cs="Arial"/>
                <w:sz w:val="24"/>
                <w:szCs w:val="24"/>
              </w:rPr>
              <w:t xml:space="preserve"> of a line drawn down </w:t>
            </w:r>
            <w:proofErr w:type="spellStart"/>
            <w:r w:rsidRPr="006F124D">
              <w:rPr>
                <w:rFonts w:ascii="Calibri" w:hAnsi="Calibri" w:cs="Arial"/>
                <w:sz w:val="24"/>
                <w:szCs w:val="24"/>
              </w:rPr>
              <w:t>Pencarrow</w:t>
            </w:r>
            <w:proofErr w:type="spellEnd"/>
            <w:r w:rsidRPr="006F124D">
              <w:rPr>
                <w:rFonts w:ascii="Calibri" w:hAnsi="Calibri" w:cs="Arial"/>
                <w:sz w:val="24"/>
                <w:szCs w:val="24"/>
              </w:rPr>
              <w:t xml:space="preserve"> Place and Mullion Place and including South Central Milton Keynes east of </w:t>
            </w:r>
            <w:proofErr w:type="spellStart"/>
            <w:r w:rsidRPr="006F124D">
              <w:rPr>
                <w:rFonts w:ascii="Calibri" w:hAnsi="Calibri" w:cs="Arial"/>
                <w:sz w:val="24"/>
                <w:szCs w:val="24"/>
              </w:rPr>
              <w:t>Secklow</w:t>
            </w:r>
            <w:proofErr w:type="spellEnd"/>
            <w:r w:rsidRPr="006F124D">
              <w:rPr>
                <w:rFonts w:ascii="Calibri" w:hAnsi="Calibri" w:cs="Arial"/>
                <w:sz w:val="24"/>
                <w:szCs w:val="24"/>
              </w:rPr>
              <w:t xml:space="preserve"> Gate</w:t>
            </w:r>
          </w:p>
        </w:tc>
      </w:tr>
      <w:tr w:rsidR="0017311D" w:rsidRPr="00CD7CDA" w14:paraId="356C8A7B" w14:textId="77777777" w:rsidTr="00605997">
        <w:tc>
          <w:tcPr>
            <w:tcW w:w="2972" w:type="dxa"/>
          </w:tcPr>
          <w:p w14:paraId="2F0AC39C" w14:textId="3138BA0E" w:rsidR="0017311D" w:rsidRPr="006F124D" w:rsidRDefault="0017311D" w:rsidP="0017311D">
            <w:pPr>
              <w:spacing w:line="276" w:lineRule="auto"/>
              <w:contextualSpacing/>
              <w:rPr>
                <w:rFonts w:ascii="Calibri" w:hAnsi="Calibri" w:cs="Arial"/>
                <w:sz w:val="24"/>
                <w:szCs w:val="24"/>
              </w:rPr>
            </w:pPr>
            <w:r w:rsidRPr="006F124D">
              <w:rPr>
                <w:rFonts w:ascii="Calibri" w:hAnsi="Calibri" w:cs="Arial"/>
                <w:sz w:val="24"/>
                <w:szCs w:val="24"/>
              </w:rPr>
              <w:t>Wavendon Gate</w:t>
            </w:r>
          </w:p>
        </w:tc>
        <w:tc>
          <w:tcPr>
            <w:tcW w:w="6917" w:type="dxa"/>
          </w:tcPr>
          <w:p w14:paraId="4AFF0B97" w14:textId="68467124" w:rsidR="0017311D" w:rsidRPr="006F124D" w:rsidRDefault="0017311D" w:rsidP="0017311D">
            <w:pPr>
              <w:spacing w:line="276" w:lineRule="auto"/>
              <w:rPr>
                <w:rFonts w:ascii="Calibri" w:hAnsi="Calibri" w:cs="Arial"/>
                <w:sz w:val="24"/>
                <w:szCs w:val="24"/>
              </w:rPr>
            </w:pPr>
            <w:r w:rsidRPr="006F124D">
              <w:rPr>
                <w:rFonts w:ascii="Calibri" w:hAnsi="Calibri" w:cs="Arial"/>
                <w:sz w:val="24"/>
                <w:szCs w:val="24"/>
              </w:rPr>
              <w:t>Wavendon Gate</w:t>
            </w:r>
            <w:r>
              <w:rPr>
                <w:rFonts w:ascii="Calibri" w:hAnsi="Calibri" w:cs="Arial"/>
                <w:sz w:val="24"/>
                <w:szCs w:val="24"/>
              </w:rPr>
              <w:t xml:space="preserve">, </w:t>
            </w:r>
            <w:r w:rsidRPr="006F124D">
              <w:rPr>
                <w:rFonts w:ascii="Calibri" w:hAnsi="Calibri" w:cs="Arial"/>
                <w:sz w:val="24"/>
                <w:szCs w:val="24"/>
              </w:rPr>
              <w:t xml:space="preserve">Old Farm Park </w:t>
            </w:r>
            <w:r>
              <w:rPr>
                <w:rFonts w:ascii="Calibri" w:hAnsi="Calibri" w:cs="Arial"/>
                <w:sz w:val="24"/>
                <w:szCs w:val="24"/>
              </w:rPr>
              <w:t>and the new planned housing development at Church Farm</w:t>
            </w:r>
          </w:p>
        </w:tc>
      </w:tr>
      <w:tr w:rsidR="0017311D" w:rsidRPr="00CD7CDA" w14:paraId="3568FB7D" w14:textId="77777777" w:rsidTr="00605997">
        <w:tc>
          <w:tcPr>
            <w:tcW w:w="2972" w:type="dxa"/>
          </w:tcPr>
          <w:p w14:paraId="3E212586" w14:textId="716F6BE9" w:rsidR="0017311D" w:rsidRPr="006F124D" w:rsidRDefault="0017311D" w:rsidP="0017311D">
            <w:pPr>
              <w:spacing w:line="276" w:lineRule="auto"/>
              <w:contextualSpacing/>
              <w:rPr>
                <w:rFonts w:ascii="Calibri" w:hAnsi="Calibri" w:cs="Arial"/>
                <w:sz w:val="24"/>
                <w:szCs w:val="24"/>
              </w:rPr>
            </w:pPr>
            <w:r w:rsidRPr="006F124D">
              <w:rPr>
                <w:rFonts w:ascii="Calibri" w:hAnsi="Calibri" w:cs="Arial"/>
                <w:sz w:val="24"/>
                <w:szCs w:val="24"/>
              </w:rPr>
              <w:t>Wood End First</w:t>
            </w:r>
          </w:p>
        </w:tc>
        <w:tc>
          <w:tcPr>
            <w:tcW w:w="6917" w:type="dxa"/>
          </w:tcPr>
          <w:p w14:paraId="18A963DE" w14:textId="5A8BB0D2" w:rsidR="0017311D" w:rsidRPr="006F124D" w:rsidRDefault="0017311D" w:rsidP="0017311D">
            <w:pPr>
              <w:spacing w:line="276" w:lineRule="auto"/>
              <w:rPr>
                <w:rFonts w:ascii="Calibri" w:hAnsi="Calibri" w:cs="Arial"/>
                <w:sz w:val="24"/>
                <w:szCs w:val="24"/>
              </w:rPr>
            </w:pPr>
            <w:r w:rsidRPr="006F124D">
              <w:rPr>
                <w:rFonts w:ascii="Calibri" w:hAnsi="Calibri" w:cs="Arial"/>
                <w:sz w:val="24"/>
                <w:szCs w:val="24"/>
              </w:rPr>
              <w:t>Stantonbury plus Oakridge Park which is shared with New Bradwell School</w:t>
            </w:r>
            <w:r>
              <w:rPr>
                <w:rFonts w:ascii="Calibri" w:hAnsi="Calibri" w:cs="Arial"/>
                <w:sz w:val="24"/>
                <w:szCs w:val="24"/>
              </w:rPr>
              <w:t xml:space="preserve">.  </w:t>
            </w:r>
            <w:r w:rsidRPr="006F124D">
              <w:rPr>
                <w:rFonts w:ascii="Calibri" w:hAnsi="Calibri" w:cs="Arial"/>
                <w:sz w:val="24"/>
                <w:szCs w:val="24"/>
              </w:rPr>
              <w:t>The following roads on Stantonbury are shared with Great Linford Primary School, and St Andrew CE Infant School:</w:t>
            </w:r>
            <w:r>
              <w:rPr>
                <w:rFonts w:ascii="Calibri" w:hAnsi="Calibri" w:cs="Arial"/>
                <w:sz w:val="24"/>
                <w:szCs w:val="24"/>
              </w:rPr>
              <w:t xml:space="preserve">  </w:t>
            </w:r>
            <w:r w:rsidRPr="006F124D">
              <w:rPr>
                <w:rFonts w:ascii="Calibri" w:hAnsi="Calibri" w:cs="Arial"/>
                <w:sz w:val="24"/>
                <w:szCs w:val="24"/>
              </w:rPr>
              <w:t xml:space="preserve">Jacobs Close, Redbridge (even numbers 68 upwards), </w:t>
            </w:r>
            <w:proofErr w:type="spellStart"/>
            <w:r w:rsidRPr="006F124D">
              <w:rPr>
                <w:rFonts w:ascii="Calibri" w:hAnsi="Calibri" w:cs="Arial"/>
                <w:sz w:val="24"/>
                <w:szCs w:val="24"/>
              </w:rPr>
              <w:t>Walshs</w:t>
            </w:r>
            <w:proofErr w:type="spellEnd"/>
            <w:r w:rsidRPr="006F124D">
              <w:rPr>
                <w:rFonts w:ascii="Calibri" w:hAnsi="Calibri" w:cs="Arial"/>
                <w:sz w:val="24"/>
                <w:szCs w:val="24"/>
              </w:rPr>
              <w:t xml:space="preserve"> Manor (odd numbers 71 upwards), </w:t>
            </w:r>
            <w:proofErr w:type="spellStart"/>
            <w:r w:rsidRPr="006F124D">
              <w:rPr>
                <w:rFonts w:ascii="Calibri" w:hAnsi="Calibri" w:cs="Arial"/>
                <w:sz w:val="24"/>
                <w:szCs w:val="24"/>
              </w:rPr>
              <w:t>Ormonde</w:t>
            </w:r>
            <w:proofErr w:type="spellEnd"/>
            <w:r w:rsidRPr="006F124D">
              <w:rPr>
                <w:rFonts w:ascii="Calibri" w:hAnsi="Calibri" w:cs="Arial"/>
                <w:sz w:val="24"/>
                <w:szCs w:val="24"/>
              </w:rPr>
              <w:t xml:space="preserve">, Rossendale, Rowle Close, Crosslands (even numbers 86 upwards and odd numbers 101 upwards) </w:t>
            </w:r>
          </w:p>
        </w:tc>
      </w:tr>
    </w:tbl>
    <w:p w14:paraId="03A60091" w14:textId="4C62875B" w:rsidR="00605997" w:rsidRDefault="00605997"/>
    <w:p w14:paraId="73C0F421" w14:textId="17A6F5A5" w:rsidR="00A0312C" w:rsidRDefault="00A0312C"/>
    <w:sectPr w:rsidR="00A0312C" w:rsidSect="00605997">
      <w:footerReference w:type="default" r:id="rId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A9D3" w14:textId="77777777" w:rsidR="00605997" w:rsidRDefault="00605997" w:rsidP="00605997">
      <w:pPr>
        <w:spacing w:after="0" w:line="240" w:lineRule="auto"/>
      </w:pPr>
      <w:r>
        <w:separator/>
      </w:r>
    </w:p>
  </w:endnote>
  <w:endnote w:type="continuationSeparator" w:id="0">
    <w:p w14:paraId="54D64636" w14:textId="77777777" w:rsidR="00605997" w:rsidRDefault="00605997" w:rsidP="00605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FF79" w14:textId="7B848A2A" w:rsidR="00605997" w:rsidRPr="00605997" w:rsidRDefault="00605997">
    <w:pPr>
      <w:pStyle w:val="Footer"/>
      <w:rPr>
        <w:color w:val="A6A6A6" w:themeColor="background1" w:themeShade="A6"/>
        <w:sz w:val="16"/>
        <w:szCs w:val="16"/>
      </w:rPr>
    </w:pPr>
    <w:r w:rsidRPr="00EE6BB0">
      <w:rPr>
        <w:sz w:val="16"/>
        <w:szCs w:val="16"/>
      </w:rPr>
      <w:t>Proposed PANs and catchment areas 2026/27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A318" w14:textId="77777777" w:rsidR="00605997" w:rsidRDefault="00605997" w:rsidP="00605997">
      <w:pPr>
        <w:spacing w:after="0" w:line="240" w:lineRule="auto"/>
      </w:pPr>
      <w:r>
        <w:separator/>
      </w:r>
    </w:p>
  </w:footnote>
  <w:footnote w:type="continuationSeparator" w:id="0">
    <w:p w14:paraId="2740F7F3" w14:textId="77777777" w:rsidR="00605997" w:rsidRDefault="00605997" w:rsidP="00605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F3"/>
    <w:rsid w:val="0017311D"/>
    <w:rsid w:val="00605997"/>
    <w:rsid w:val="00A0312C"/>
    <w:rsid w:val="00D64EF3"/>
    <w:rsid w:val="00EE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57D0"/>
  <w15:chartTrackingRefBased/>
  <w15:docId w15:val="{FA8AEE9F-05F8-478C-8731-6EC7BEB7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EF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E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997"/>
    <w:rPr>
      <w:kern w:val="0"/>
      <w14:ligatures w14:val="none"/>
    </w:rPr>
  </w:style>
  <w:style w:type="paragraph" w:styleId="Footer">
    <w:name w:val="footer"/>
    <w:basedOn w:val="Normal"/>
    <w:link w:val="FooterChar"/>
    <w:uiPriority w:val="99"/>
    <w:unhideWhenUsed/>
    <w:rsid w:val="00605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99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C07D89E1FA745B5C33224DEB93467" ma:contentTypeVersion="1" ma:contentTypeDescription="Create a new document." ma:contentTypeScope="" ma:versionID="9427267f0f3421f4f35de50201543de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09E64-D3D0-4870-AB3B-AD7E1DB65AC6}"/>
</file>

<file path=customXml/itemProps2.xml><?xml version="1.0" encoding="utf-8"?>
<ds:datastoreItem xmlns:ds="http://schemas.openxmlformats.org/officeDocument/2006/customXml" ds:itemID="{69814F78-DD57-4291-AA69-EB70AA34E987}"/>
</file>

<file path=customXml/itemProps3.xml><?xml version="1.0" encoding="utf-8"?>
<ds:datastoreItem xmlns:ds="http://schemas.openxmlformats.org/officeDocument/2006/customXml" ds:itemID="{467B6673-DFAD-4BA9-8805-08760B8E70C2}"/>
</file>

<file path=docProps/app.xml><?xml version="1.0" encoding="utf-8"?>
<Properties xmlns="http://schemas.openxmlformats.org/officeDocument/2006/extended-properties" xmlns:vt="http://schemas.openxmlformats.org/officeDocument/2006/docPropsVTypes">
  <Template>Normal</Template>
  <TotalTime>160</TotalTime>
  <Pages>6</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Butler</dc:creator>
  <cp:keywords/>
  <dc:description/>
  <cp:lastModifiedBy>Toni Butler</cp:lastModifiedBy>
  <cp:revision>2</cp:revision>
  <dcterms:created xsi:type="dcterms:W3CDTF">2024-10-23T08:58:00Z</dcterms:created>
  <dcterms:modified xsi:type="dcterms:W3CDTF">2024-10-23T11:41:00Z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0x010100432C07D89E1FA745B5C33224DEB93467</vt:lpwstr>
  </property>
</Properties>
</file>